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A1" w:rsidRDefault="00FC44A1" w:rsidP="00FC44A1"/>
    <w:p w:rsidR="009924EB" w:rsidRDefault="009924EB" w:rsidP="009924EB">
      <w:r w:rsidRPr="008062DD">
        <w:rPr>
          <w:i/>
        </w:rPr>
        <w:t xml:space="preserve">Science Team develops draft </w:t>
      </w:r>
      <w:r w:rsidR="00383704">
        <w:rPr>
          <w:i/>
        </w:rPr>
        <w:t xml:space="preserve">dive </w:t>
      </w:r>
      <w:r w:rsidRPr="008062DD">
        <w:rPr>
          <w:i/>
        </w:rPr>
        <w:t>track</w:t>
      </w:r>
      <w:r>
        <w:rPr>
          <w:i/>
        </w:rPr>
        <w:t xml:space="preserve"> two days before a planned dive</w:t>
      </w:r>
      <w:r w:rsidRPr="008062DD">
        <w:rPr>
          <w:i/>
        </w:rPr>
        <w:t>. Expedition Leader responds</w:t>
      </w:r>
      <w:r>
        <w:rPr>
          <w:i/>
        </w:rPr>
        <w:t xml:space="preserve"> overnight</w:t>
      </w:r>
      <w:r w:rsidRPr="008062DD">
        <w:rPr>
          <w:i/>
        </w:rPr>
        <w:t xml:space="preserve"> based on ship capabilities, programmatic considerations, and constraints.</w:t>
      </w:r>
      <w:r>
        <w:rPr>
          <w:i/>
        </w:rPr>
        <w:t xml:space="preserve"> Plan is finalized the day before a dive</w:t>
      </w:r>
    </w:p>
    <w:p w:rsidR="002A14D3" w:rsidRDefault="002A14D3" w:rsidP="001D52DB">
      <w:pPr>
        <w:rPr>
          <w:b/>
        </w:rPr>
      </w:pPr>
    </w:p>
    <w:p w:rsidR="00B273EF" w:rsidRPr="00841F88" w:rsidRDefault="001D52DB" w:rsidP="001D52DB">
      <w:pPr>
        <w:rPr>
          <w:u w:val="single"/>
        </w:rPr>
      </w:pPr>
      <w:r w:rsidRPr="008062DD">
        <w:rPr>
          <w:b/>
        </w:rPr>
        <w:t>Site Name:</w:t>
      </w:r>
      <w:r>
        <w:t xml:space="preserve"> </w:t>
      </w:r>
      <w:r w:rsidR="002E4527">
        <w:rPr>
          <w:u w:val="single"/>
        </w:rPr>
        <w:t xml:space="preserve">Von </w:t>
      </w:r>
      <w:proofErr w:type="spellStart"/>
      <w:r w:rsidR="002E4527">
        <w:rPr>
          <w:u w:val="single"/>
        </w:rPr>
        <w:t>Damm</w:t>
      </w:r>
      <w:proofErr w:type="spellEnd"/>
      <w:r w:rsidR="002E4527">
        <w:rPr>
          <w:u w:val="single"/>
        </w:rPr>
        <w:t xml:space="preserve"> Field</w:t>
      </w:r>
    </w:p>
    <w:p w:rsidR="009B54B0" w:rsidRPr="00042ADC" w:rsidRDefault="009B54B0" w:rsidP="001D52DB">
      <w:r w:rsidRPr="009B54B0">
        <w:rPr>
          <w:b/>
        </w:rPr>
        <w:t>Approximate Location:</w:t>
      </w:r>
      <w:r>
        <w:t xml:space="preserve"> </w:t>
      </w:r>
      <w:r w:rsidR="002E4527">
        <w:rPr>
          <w:u w:val="single"/>
        </w:rPr>
        <w:t>18° 22.6</w:t>
      </w:r>
      <w:r w:rsidR="00097783">
        <w:rPr>
          <w:u w:val="single"/>
        </w:rPr>
        <w:t>08’N, 81° 47.890</w:t>
      </w:r>
      <w:r w:rsidR="002E4527">
        <w:rPr>
          <w:u w:val="single"/>
        </w:rPr>
        <w:t>’W; 2300m</w:t>
      </w:r>
    </w:p>
    <w:p w:rsidR="00E13426" w:rsidRPr="00042ADC" w:rsidRDefault="001D52DB" w:rsidP="00042ADC">
      <w:pPr>
        <w:tabs>
          <w:tab w:val="left" w:pos="3240"/>
        </w:tabs>
        <w:rPr>
          <w:u w:val="single"/>
        </w:rPr>
      </w:pPr>
      <w:r w:rsidRPr="008062DD">
        <w:rPr>
          <w:b/>
        </w:rPr>
        <w:t>Dive Date</w:t>
      </w:r>
      <w:r w:rsidR="00A81ECF" w:rsidRPr="008062DD">
        <w:rPr>
          <w:b/>
        </w:rPr>
        <w:t xml:space="preserve"> (local)</w:t>
      </w:r>
      <w:r w:rsidRPr="008062DD">
        <w:rPr>
          <w:b/>
        </w:rPr>
        <w:t>:</w:t>
      </w:r>
      <w:r w:rsidR="00E13426" w:rsidRPr="00E13426">
        <w:rPr>
          <w:b/>
        </w:rPr>
        <w:t xml:space="preserve"> </w:t>
      </w:r>
      <w:r w:rsidR="002E4527">
        <w:rPr>
          <w:u w:val="single"/>
        </w:rPr>
        <w:t>August 6</w:t>
      </w:r>
      <w:r w:rsidR="002E4527" w:rsidRPr="002E4527">
        <w:rPr>
          <w:u w:val="single"/>
          <w:vertAlign w:val="superscript"/>
        </w:rPr>
        <w:t>th</w:t>
      </w:r>
      <w:r w:rsidR="002E4527">
        <w:rPr>
          <w:u w:val="single"/>
        </w:rPr>
        <w:t>, 2011</w:t>
      </w:r>
    </w:p>
    <w:p w:rsidR="00A81ECF" w:rsidRDefault="00C50C2D" w:rsidP="001D52DB">
      <w:r w:rsidRPr="00C50C2D">
        <w:rPr>
          <w:b/>
          <w:noProof/>
        </w:rPr>
        <w:pict>
          <v:rect id="_x0000_s1026" style="position:absolute;margin-left:-22.8pt;margin-top:14.55pt;width:510pt;height:303.85pt;z-index:251658240">
            <v:textbox>
              <w:txbxContent>
                <w:p w:rsidR="002E4527" w:rsidRPr="006246A7" w:rsidRDefault="002A14D3" w:rsidP="007177EF">
                  <w:pPr>
                    <w:jc w:val="center"/>
                  </w:pPr>
                  <w:r w:rsidRPr="002A14D3">
                    <w:rPr>
                      <w:noProof/>
                    </w:rPr>
                    <w:drawing>
                      <wp:inline distT="0" distB="0" distL="0" distR="0">
                        <wp:extent cx="5377815" cy="3757930"/>
                        <wp:effectExtent l="19050" t="0" r="0" b="0"/>
                        <wp:docPr id="1" name="Picture 0" descr="test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77815" cy="3757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81ECF" w:rsidRDefault="00A81ECF" w:rsidP="001D52DB"/>
    <w:p w:rsidR="00A81ECF" w:rsidRDefault="00A81ECF" w:rsidP="001D52DB"/>
    <w:p w:rsidR="00A81ECF" w:rsidRDefault="00A81ECF" w:rsidP="001D52DB"/>
    <w:p w:rsidR="008D5B87" w:rsidRDefault="008D5B87" w:rsidP="008D5B87">
      <w:pPr>
        <w:spacing w:after="0" w:line="240" w:lineRule="auto"/>
        <w:rPr>
          <w:b/>
        </w:rPr>
      </w:pPr>
    </w:p>
    <w:p w:rsidR="00E13426" w:rsidRDefault="00E13426">
      <w:pPr>
        <w:rPr>
          <w:b/>
        </w:rPr>
      </w:pPr>
      <w:r>
        <w:rPr>
          <w:b/>
        </w:rPr>
        <w:br w:type="page"/>
      </w:r>
    </w:p>
    <w:p w:rsidR="00611C20" w:rsidRPr="009924EB" w:rsidRDefault="00611C20" w:rsidP="00611C20">
      <w:pPr>
        <w:spacing w:after="0" w:line="240" w:lineRule="auto"/>
        <w:rPr>
          <w:b/>
        </w:rPr>
      </w:pPr>
      <w:r w:rsidRPr="009924EB">
        <w:rPr>
          <w:b/>
        </w:rPr>
        <w:lastRenderedPageBreak/>
        <w:t>Brief Explanation of Exploration Objectives and Rational for the Desired Dive Track: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A24680" w:rsidRDefault="00A24680" w:rsidP="00D711F4">
      <w:pPr>
        <w:spacing w:after="0" w:line="240" w:lineRule="auto"/>
        <w:rPr>
          <w:rStyle w:val="apple-style-span"/>
          <w:rFonts w:ascii="Verdana" w:hAnsi="Verdana"/>
          <w:color w:val="000000"/>
          <w:sz w:val="20"/>
          <w:szCs w:val="20"/>
          <w:u w:val="single"/>
        </w:rPr>
      </w:pPr>
    </w:p>
    <w:p w:rsidR="00D711F4" w:rsidRPr="00D711F4" w:rsidRDefault="00D711F4" w:rsidP="00D711F4">
      <w:pPr>
        <w:spacing w:after="0" w:line="240" w:lineRule="auto"/>
        <w:rPr>
          <w:rStyle w:val="apple-style-span"/>
        </w:rPr>
      </w:pPr>
      <w:r w:rsidRPr="00D711F4">
        <w:rPr>
          <w:rStyle w:val="apple-style-span"/>
          <w:rFonts w:ascii="Verdana" w:hAnsi="Verdana"/>
          <w:color w:val="000000"/>
          <w:sz w:val="20"/>
          <w:szCs w:val="20"/>
          <w:u w:val="single"/>
        </w:rPr>
        <w:t>Science Rationale: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2E4527" w:rsidRDefault="002E4527" w:rsidP="00D711F4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The plans for Dive 02 are, if possible, to complete characterization of the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vent-site and then, as time permits, commence off-site reconnaissance.  To that end the dive plan should include:-</w:t>
      </w:r>
    </w:p>
    <w:p w:rsidR="002E4527" w:rsidRDefault="002E452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Dive to central pinnacle for navigation orientation and ensure internal consistency from Dive 01;</w:t>
      </w:r>
    </w:p>
    <w:p w:rsidR="002E4527" w:rsidRDefault="002E452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Proceed south to outermost line that has not yet been completed from Dive 01 plan.</w:t>
      </w:r>
    </w:p>
    <w:p w:rsidR="002E4527" w:rsidRDefault="002E452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Proceed, counterclockwise around entire site to complete all 4 lines remaining from Dive 01 and ending due south of the Spire.</w:t>
      </w:r>
    </w:p>
    <w:p w:rsidR="002E4527" w:rsidRDefault="002E452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If, under (3) there were still hydrothermal systems/communities encountered (particularly to South and East of Spire), add in additional survey lines a further 15m out from those already planned for Dive 01.</w:t>
      </w:r>
    </w:p>
    <w:p w:rsidR="002E4527" w:rsidRDefault="002E452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Once outermost survey lines have been completed, proceed to detailed studies within the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“box”.</w:t>
      </w:r>
    </w:p>
    <w:p w:rsidR="00993357" w:rsidRDefault="002E452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Head north, to East of Spire, to </w:t>
      </w:r>
      <w:proofErr w:type="spellStart"/>
      <w:r>
        <w:rPr>
          <w:rStyle w:val="apple-style-span"/>
        </w:rPr>
        <w:t>vestimentiferan</w:t>
      </w:r>
      <w:proofErr w:type="spellEnd"/>
      <w:r>
        <w:rPr>
          <w:rStyle w:val="apple-style-span"/>
        </w:rPr>
        <w:t xml:space="preserve"> sites (to understand their setting</w:t>
      </w:r>
      <w:r w:rsidR="00993357">
        <w:rPr>
          <w:rStyle w:val="apple-style-span"/>
        </w:rPr>
        <w:t xml:space="preserve"> and seek for live animals).</w:t>
      </w:r>
    </w:p>
    <w:p w:rsidR="00993357" w:rsidRDefault="0099335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Study outer “patches” of shrimp on way </w:t>
      </w:r>
      <w:proofErr w:type="gramStart"/>
      <w:r>
        <w:rPr>
          <w:rStyle w:val="apple-style-span"/>
        </w:rPr>
        <w:t>north,</w:t>
      </w:r>
      <w:proofErr w:type="gramEnd"/>
      <w:r>
        <w:rPr>
          <w:rStyle w:val="apple-style-span"/>
        </w:rPr>
        <w:t xml:space="preserve"> look for suitable sites for flow study (Jill McDermott request).</w:t>
      </w:r>
    </w:p>
    <w:p w:rsidR="00993357" w:rsidRDefault="0099335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Head to main spire for detailed biological study.</w:t>
      </w:r>
    </w:p>
    <w:p w:rsidR="00993357" w:rsidRDefault="0099335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If time permits, conduct single transect South and East away from Central Spire along SE trending ridge in Connelly et al map.</w:t>
      </w:r>
    </w:p>
    <w:p w:rsidR="002E4527" w:rsidRDefault="00993357" w:rsidP="002E4527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Reserve right to modify all the above upon discovery of trilobites (or live T-rex)</w:t>
      </w:r>
    </w:p>
    <w:p w:rsidR="003A43C7" w:rsidRDefault="003A43C7" w:rsidP="002E4527">
      <w:pPr>
        <w:spacing w:after="0" w:line="240" w:lineRule="auto"/>
        <w:ind w:left="360"/>
        <w:rPr>
          <w:rStyle w:val="apple-style-span"/>
        </w:rPr>
      </w:pPr>
    </w:p>
    <w:p w:rsidR="00DD3B07" w:rsidRDefault="00DD3B07" w:rsidP="00D711F4">
      <w:pPr>
        <w:spacing w:after="0" w:line="240" w:lineRule="auto"/>
        <w:rPr>
          <w:rFonts w:ascii="Verdana" w:hAnsi="Verdana"/>
          <w:color w:val="000000"/>
          <w:sz w:val="20"/>
          <w:szCs w:val="20"/>
          <w:u w:val="single"/>
        </w:rPr>
      </w:pPr>
    </w:p>
    <w:p w:rsidR="0031775F" w:rsidRDefault="00D711F4" w:rsidP="00D711F4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 w:rsidRPr="00D711F4">
        <w:rPr>
          <w:rFonts w:ascii="Verdana" w:hAnsi="Verdana"/>
          <w:color w:val="000000"/>
          <w:sz w:val="20"/>
          <w:szCs w:val="20"/>
          <w:u w:val="single"/>
        </w:rPr>
        <w:t>Operations Response/</w:t>
      </w:r>
      <w:r w:rsidR="0031775F">
        <w:rPr>
          <w:rFonts w:ascii="Verdana" w:hAnsi="Verdana"/>
          <w:color w:val="000000"/>
          <w:sz w:val="20"/>
          <w:szCs w:val="20"/>
          <w:u w:val="single"/>
        </w:rPr>
        <w:t>Rationale:</w:t>
      </w:r>
    </w:p>
    <w:p w:rsidR="003A43C7" w:rsidRDefault="00A24680" w:rsidP="00D711F4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The ship plans to launch the ROV at </w:t>
      </w:r>
      <w:r w:rsidR="00097783">
        <w:rPr>
          <w:rFonts w:ascii="Verdana" w:hAnsi="Verdana"/>
          <w:color w:val="000000"/>
          <w:sz w:val="20"/>
          <w:szCs w:val="20"/>
        </w:rPr>
        <w:t xml:space="preserve">approximately </w:t>
      </w:r>
      <w:r>
        <w:rPr>
          <w:rFonts w:ascii="Verdana" w:hAnsi="Verdana"/>
          <w:color w:val="000000"/>
          <w:sz w:val="20"/>
          <w:szCs w:val="20"/>
        </w:rPr>
        <w:t>0800</w:t>
      </w:r>
      <w:r w:rsidR="00097783">
        <w:rPr>
          <w:rFonts w:ascii="Verdana" w:hAnsi="Verdana"/>
          <w:color w:val="000000"/>
          <w:sz w:val="20"/>
          <w:szCs w:val="20"/>
        </w:rPr>
        <w:t xml:space="preserve">. </w:t>
      </w:r>
      <w:r>
        <w:rPr>
          <w:rFonts w:ascii="Verdana" w:hAnsi="Verdana"/>
          <w:color w:val="000000"/>
          <w:sz w:val="20"/>
          <w:szCs w:val="20"/>
        </w:rPr>
        <w:t>Time from</w:t>
      </w:r>
      <w:r w:rsidR="00097783">
        <w:rPr>
          <w:rFonts w:ascii="Verdana" w:hAnsi="Verdana"/>
          <w:color w:val="000000"/>
          <w:sz w:val="20"/>
          <w:szCs w:val="20"/>
        </w:rPr>
        <w:t xml:space="preserve"> the start of</w:t>
      </w:r>
      <w:r>
        <w:rPr>
          <w:rFonts w:ascii="Verdana" w:hAnsi="Verdana"/>
          <w:color w:val="000000"/>
          <w:sz w:val="20"/>
          <w:szCs w:val="20"/>
        </w:rPr>
        <w:t xml:space="preserve"> launch </w:t>
      </w:r>
      <w:r w:rsidR="00097783">
        <w:rPr>
          <w:rFonts w:ascii="Verdana" w:hAnsi="Verdana"/>
          <w:color w:val="000000"/>
          <w:sz w:val="20"/>
          <w:szCs w:val="20"/>
        </w:rPr>
        <w:t xml:space="preserve">to the bottom is approximately 1 hour 50 minutes. Completion of the remaining four sides of the box will take approximately 1h 40min, with approximately 4h 40min bottom time remaining during the dive. </w:t>
      </w:r>
      <w:r>
        <w:rPr>
          <w:rFonts w:ascii="Verdana" w:hAnsi="Verdana"/>
          <w:color w:val="000000"/>
          <w:sz w:val="20"/>
          <w:szCs w:val="20"/>
        </w:rPr>
        <w:t>The time to return to the surface and secure th</w:t>
      </w:r>
      <w:r w:rsidR="00097783">
        <w:rPr>
          <w:rFonts w:ascii="Verdana" w:hAnsi="Verdana"/>
          <w:color w:val="000000"/>
          <w:sz w:val="20"/>
          <w:szCs w:val="20"/>
        </w:rPr>
        <w:t>e ROV on deck is approximately 1h 50 minutes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962573" w:rsidRDefault="00962573" w:rsidP="001D52DB">
      <w:pPr>
        <w:rPr>
          <w:rFonts w:ascii="Verdana" w:hAnsi="Verdana"/>
          <w:color w:val="000000"/>
          <w:sz w:val="20"/>
          <w:szCs w:val="20"/>
        </w:rPr>
      </w:pPr>
    </w:p>
    <w:p w:rsidR="00A81ECF" w:rsidRPr="00611C20" w:rsidRDefault="00611C20" w:rsidP="001D52DB">
      <w:pPr>
        <w:rPr>
          <w:b/>
        </w:rPr>
      </w:pPr>
      <w:r w:rsidRPr="009924EB">
        <w:rPr>
          <w:b/>
        </w:rPr>
        <w:t>ROV Track Waypoints Table:</w:t>
      </w:r>
    </w:p>
    <w:tbl>
      <w:tblPr>
        <w:tblStyle w:val="TableGrid"/>
        <w:tblW w:w="10429" w:type="dxa"/>
        <w:jc w:val="center"/>
        <w:tblLook w:val="04A0"/>
      </w:tblPr>
      <w:tblGrid>
        <w:gridCol w:w="1249"/>
        <w:gridCol w:w="1393"/>
        <w:gridCol w:w="1301"/>
        <w:gridCol w:w="978"/>
        <w:gridCol w:w="1871"/>
        <w:gridCol w:w="1358"/>
        <w:gridCol w:w="1301"/>
        <w:gridCol w:w="978"/>
      </w:tblGrid>
      <w:tr w:rsidR="00E13426" w:rsidTr="00962573">
        <w:trPr>
          <w:jc w:val="center"/>
        </w:trPr>
        <w:tc>
          <w:tcPr>
            <w:tcW w:w="4921" w:type="dxa"/>
            <w:gridSpan w:val="4"/>
          </w:tcPr>
          <w:p w:rsidR="00E13426" w:rsidRDefault="00E13426" w:rsidP="00E13426">
            <w:pPr>
              <w:rPr>
                <w:i/>
              </w:rPr>
            </w:pPr>
            <w:r>
              <w:rPr>
                <w:i/>
              </w:rPr>
              <w:t>DESIRED WAYPOINTS TO EXPLORE -</w:t>
            </w:r>
          </w:p>
          <w:p w:rsidR="00755108" w:rsidRDefault="00E13426" w:rsidP="00E13426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SHORE-SIDE LEAD SCIENTIST</w:t>
            </w:r>
            <w:r>
              <w:rPr>
                <w:i/>
              </w:rPr>
              <w:t>)</w:t>
            </w:r>
          </w:p>
          <w:p w:rsidR="00E13426" w:rsidRPr="008062DD" w:rsidRDefault="00E13426" w:rsidP="00755108">
            <w:pPr>
              <w:rPr>
                <w:i/>
              </w:rPr>
            </w:pPr>
            <w:r w:rsidRPr="008062DD">
              <w:rPr>
                <w:i/>
              </w:rPr>
              <w:t xml:space="preserve"> (not incl</w:t>
            </w:r>
            <w:r w:rsidR="00755108">
              <w:rPr>
                <w:i/>
              </w:rPr>
              <w:t>uding</w:t>
            </w:r>
            <w:r w:rsidRPr="008062DD">
              <w:rPr>
                <w:i/>
              </w:rPr>
              <w:t xml:space="preserve"> launch)</w:t>
            </w:r>
          </w:p>
        </w:tc>
        <w:tc>
          <w:tcPr>
            <w:tcW w:w="5508" w:type="dxa"/>
            <w:gridSpan w:val="4"/>
          </w:tcPr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 xml:space="preserve">ACTUAL WAYPOINTS TO EXPLORE- </w:t>
            </w:r>
          </w:p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SHIPBOARD EXPEDITION LEADER</w:t>
            </w:r>
            <w:r>
              <w:rPr>
                <w:i/>
              </w:rPr>
              <w:t>)</w:t>
            </w:r>
          </w:p>
        </w:tc>
      </w:tr>
      <w:tr w:rsidR="00572967" w:rsidTr="00962573">
        <w:trPr>
          <w:jc w:val="center"/>
        </w:trPr>
        <w:tc>
          <w:tcPr>
            <w:tcW w:w="1249" w:type="dxa"/>
          </w:tcPr>
          <w:p w:rsidR="006246A7" w:rsidRPr="001B5907" w:rsidRDefault="006246A7" w:rsidP="001B5907">
            <w:pPr>
              <w:rPr>
                <w:b/>
              </w:rPr>
            </w:pPr>
            <w:r w:rsidRPr="001B5907">
              <w:rPr>
                <w:b/>
              </w:rPr>
              <w:t>W</w:t>
            </w:r>
            <w:r>
              <w:rPr>
                <w:b/>
              </w:rPr>
              <w:t>AYPOINT NAME</w:t>
            </w:r>
          </w:p>
        </w:tc>
        <w:tc>
          <w:tcPr>
            <w:tcW w:w="1393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APPROX DEPTH</w:t>
            </w:r>
          </w:p>
        </w:tc>
        <w:tc>
          <w:tcPr>
            <w:tcW w:w="1871" w:type="dxa"/>
          </w:tcPr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WAYPOINT NAME/SEQUENCE</w:t>
            </w:r>
          </w:p>
        </w:tc>
        <w:tc>
          <w:tcPr>
            <w:tcW w:w="1358" w:type="dxa"/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Default="006246A7" w:rsidP="002E4527">
            <w:pPr>
              <w:rPr>
                <w:b/>
              </w:rPr>
            </w:pPr>
            <w:r>
              <w:rPr>
                <w:b/>
              </w:rPr>
              <w:t>APPROX</w:t>
            </w:r>
          </w:p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DEPTH</w:t>
            </w:r>
          </w:p>
        </w:tc>
      </w:tr>
      <w:tr w:rsidR="00572967" w:rsidTr="00962573">
        <w:trPr>
          <w:jc w:val="center"/>
        </w:trPr>
        <w:tc>
          <w:tcPr>
            <w:tcW w:w="1249" w:type="dxa"/>
          </w:tcPr>
          <w:p w:rsidR="006246A7" w:rsidRDefault="006246A7" w:rsidP="002E4527">
            <w:r>
              <w:t>Launch</w:t>
            </w:r>
          </w:p>
        </w:tc>
        <w:tc>
          <w:tcPr>
            <w:tcW w:w="1393" w:type="dxa"/>
            <w:shd w:val="solid" w:color="auto" w:fill="auto"/>
          </w:tcPr>
          <w:p w:rsidR="006246A7" w:rsidRDefault="006246A7" w:rsidP="002E4527"/>
        </w:tc>
        <w:tc>
          <w:tcPr>
            <w:tcW w:w="1301" w:type="dxa"/>
            <w:shd w:val="solid" w:color="auto" w:fill="auto"/>
          </w:tcPr>
          <w:p w:rsidR="006246A7" w:rsidRDefault="006246A7" w:rsidP="002E4527"/>
        </w:tc>
        <w:tc>
          <w:tcPr>
            <w:tcW w:w="978" w:type="dxa"/>
          </w:tcPr>
          <w:p w:rsidR="006246A7" w:rsidRDefault="006246A7" w:rsidP="002E4527"/>
        </w:tc>
        <w:tc>
          <w:tcPr>
            <w:tcW w:w="1871" w:type="dxa"/>
          </w:tcPr>
          <w:p w:rsidR="006246A7" w:rsidRDefault="006246A7" w:rsidP="003A43C7">
            <w:pPr>
              <w:tabs>
                <w:tab w:val="left" w:pos="1052"/>
              </w:tabs>
            </w:pPr>
            <w:r>
              <w:t>Launch</w:t>
            </w:r>
            <w:r w:rsidR="007669C0">
              <w:t xml:space="preserve"> </w:t>
            </w:r>
          </w:p>
        </w:tc>
        <w:tc>
          <w:tcPr>
            <w:tcW w:w="1358" w:type="dxa"/>
          </w:tcPr>
          <w:p w:rsidR="00F3335A" w:rsidRDefault="00F3335A" w:rsidP="00F3335A"/>
        </w:tc>
        <w:tc>
          <w:tcPr>
            <w:tcW w:w="1301" w:type="dxa"/>
          </w:tcPr>
          <w:p w:rsidR="006246A7" w:rsidRDefault="006246A7" w:rsidP="007669C0"/>
        </w:tc>
        <w:tc>
          <w:tcPr>
            <w:tcW w:w="978" w:type="dxa"/>
          </w:tcPr>
          <w:p w:rsidR="006246A7" w:rsidRDefault="006246A7" w:rsidP="00FF22A5">
            <w:pPr>
              <w:jc w:val="right"/>
            </w:pPr>
          </w:p>
        </w:tc>
      </w:tr>
      <w:tr w:rsidR="00962573" w:rsidTr="00962573">
        <w:trPr>
          <w:jc w:val="center"/>
        </w:trPr>
        <w:tc>
          <w:tcPr>
            <w:tcW w:w="1249" w:type="dxa"/>
          </w:tcPr>
          <w:p w:rsidR="00962573" w:rsidRDefault="00962573" w:rsidP="002E4527">
            <w:r>
              <w:t>MCR001</w:t>
            </w:r>
          </w:p>
        </w:tc>
        <w:tc>
          <w:tcPr>
            <w:tcW w:w="1393" w:type="dxa"/>
          </w:tcPr>
          <w:p w:rsidR="00962573" w:rsidRPr="00002B0C" w:rsidRDefault="00962573" w:rsidP="00EB5B7B">
            <w:r w:rsidRPr="00002B0C">
              <w:t>18</w:t>
            </w:r>
            <w:r w:rsidRPr="00002B0C">
              <w:rPr>
                <w:vertAlign w:val="superscript"/>
              </w:rPr>
              <w:t>o</w:t>
            </w:r>
            <w:r w:rsidRPr="00002B0C">
              <w:t xml:space="preserve"> 22.608’</w:t>
            </w:r>
          </w:p>
        </w:tc>
        <w:tc>
          <w:tcPr>
            <w:tcW w:w="1301" w:type="dxa"/>
          </w:tcPr>
          <w:p w:rsidR="00962573" w:rsidRPr="00592EA9" w:rsidRDefault="00962573" w:rsidP="00EB5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  <w:r w:rsidRPr="00002B0C">
              <w:rPr>
                <w:vertAlign w:val="superscript"/>
              </w:rPr>
              <w:t xml:space="preserve"> o</w:t>
            </w:r>
            <w:r>
              <w:rPr>
                <w:rFonts w:ascii="Calibri" w:hAnsi="Calibri"/>
                <w:color w:val="000000"/>
              </w:rPr>
              <w:t xml:space="preserve"> 47.890’</w:t>
            </w:r>
          </w:p>
        </w:tc>
        <w:tc>
          <w:tcPr>
            <w:tcW w:w="978" w:type="dxa"/>
            <w:vAlign w:val="bottom"/>
          </w:tcPr>
          <w:p w:rsidR="00962573" w:rsidRDefault="00962573" w:rsidP="00EB5B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2310m</w:t>
            </w:r>
          </w:p>
        </w:tc>
        <w:tc>
          <w:tcPr>
            <w:tcW w:w="1871" w:type="dxa"/>
          </w:tcPr>
          <w:p w:rsidR="00962573" w:rsidRPr="00755108" w:rsidRDefault="00962573" w:rsidP="00755108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962573" w:rsidRDefault="00962573" w:rsidP="007669C0"/>
        </w:tc>
        <w:tc>
          <w:tcPr>
            <w:tcW w:w="1301" w:type="dxa"/>
          </w:tcPr>
          <w:p w:rsidR="00962573" w:rsidRPr="00592EA9" w:rsidRDefault="00962573" w:rsidP="007669C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FF22A5">
            <w:pPr>
              <w:jc w:val="right"/>
            </w:pPr>
          </w:p>
        </w:tc>
      </w:tr>
      <w:tr w:rsidR="00962573" w:rsidT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 w:rsidT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 w:rsidT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Default="00962573" w:rsidP="001B5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 w:rsidT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2E4527"/>
        </w:tc>
      </w:tr>
      <w:tr w:rsidR="00962573" w:rsidT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2E4527"/>
        </w:tc>
      </w:tr>
    </w:tbl>
    <w:p w:rsidR="00A81ECF" w:rsidRDefault="00A81ECF" w:rsidP="006F6AA5"/>
    <w:sectPr w:rsidR="00A81ECF" w:rsidSect="005458A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27" w:rsidRDefault="002E4527" w:rsidP="00FC44A1">
      <w:pPr>
        <w:spacing w:after="0" w:line="240" w:lineRule="auto"/>
      </w:pPr>
      <w:r>
        <w:separator/>
      </w:r>
    </w:p>
  </w:endnote>
  <w:endnote w:type="continuationSeparator" w:id="0">
    <w:p w:rsidR="002E4527" w:rsidRDefault="002E4527" w:rsidP="00FC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27" w:rsidRPr="00AE4747" w:rsidRDefault="002E4527">
    <w:pPr>
      <w:pStyle w:val="Footer"/>
      <w:rPr>
        <w:i/>
      </w:rPr>
    </w:pPr>
    <w:r w:rsidRPr="00AE4747">
      <w:rPr>
        <w:i/>
      </w:rPr>
      <w:t>UPDATED: July 14, 2010 1100</w:t>
    </w:r>
  </w:p>
  <w:p w:rsidR="002E4527" w:rsidRDefault="002E4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27" w:rsidRDefault="002E4527" w:rsidP="00FC44A1">
      <w:pPr>
        <w:spacing w:after="0" w:line="240" w:lineRule="auto"/>
      </w:pPr>
      <w:r>
        <w:separator/>
      </w:r>
    </w:p>
  </w:footnote>
  <w:footnote w:type="continuationSeparator" w:id="0">
    <w:p w:rsidR="002E4527" w:rsidRDefault="002E4527" w:rsidP="00FC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27" w:rsidRPr="00FC44A1" w:rsidRDefault="002E4527" w:rsidP="00FC44A1">
    <w:pPr>
      <w:pStyle w:val="Header"/>
      <w:rPr>
        <w:b/>
        <w:sz w:val="44"/>
      </w:rPr>
    </w:pPr>
    <w:r>
      <w:rPr>
        <w:b/>
        <w:noProof/>
        <w:sz w:val="4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26670</wp:posOffset>
          </wp:positionH>
          <wp:positionV relativeFrom="margin">
            <wp:posOffset>-558800</wp:posOffset>
          </wp:positionV>
          <wp:extent cx="613410" cy="609600"/>
          <wp:effectExtent l="19050" t="0" r="0" b="0"/>
          <wp:wrapSquare wrapText="bothSides"/>
          <wp:docPr id="12" name="Picture 7" descr="NOA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AA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41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44"/>
      </w:rPr>
      <w:t xml:space="preserve">           </w:t>
    </w:r>
    <w:r w:rsidRPr="00FC44A1">
      <w:rPr>
        <w:b/>
        <w:sz w:val="44"/>
      </w:rPr>
      <w:t xml:space="preserve">NOAA </w:t>
    </w:r>
    <w:proofErr w:type="spellStart"/>
    <w:r w:rsidRPr="00FC44A1">
      <w:rPr>
        <w:b/>
        <w:i/>
        <w:sz w:val="44"/>
      </w:rPr>
      <w:t>Okeanos</w:t>
    </w:r>
    <w:proofErr w:type="spellEnd"/>
    <w:r w:rsidRPr="00FC44A1">
      <w:rPr>
        <w:b/>
        <w:i/>
        <w:sz w:val="44"/>
      </w:rPr>
      <w:t xml:space="preserve"> Explorer </w:t>
    </w:r>
    <w:r w:rsidRPr="00FC44A1">
      <w:rPr>
        <w:b/>
        <w:sz w:val="44"/>
      </w:rPr>
      <w:t xml:space="preserve">Program </w:t>
    </w:r>
  </w:p>
  <w:p w:rsidR="002E4527" w:rsidRPr="00FC44A1" w:rsidRDefault="002E4527">
    <w:pPr>
      <w:pStyle w:val="Header"/>
      <w:rPr>
        <w:b/>
        <w:sz w:val="32"/>
      </w:rPr>
    </w:pPr>
    <w:r>
      <w:rPr>
        <w:b/>
        <w:sz w:val="32"/>
      </w:rPr>
      <w:t xml:space="preserve">               </w:t>
    </w:r>
    <w:r w:rsidRPr="00FC44A1">
      <w:rPr>
        <w:b/>
        <w:sz w:val="32"/>
      </w:rPr>
      <w:t>ROV Dive Planning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BD0"/>
    <w:multiLevelType w:val="hybridMultilevel"/>
    <w:tmpl w:val="20EEA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D13E7"/>
    <w:multiLevelType w:val="hybridMultilevel"/>
    <w:tmpl w:val="553E8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16745"/>
    <w:multiLevelType w:val="hybridMultilevel"/>
    <w:tmpl w:val="87F430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16351"/>
    <w:multiLevelType w:val="hybridMultilevel"/>
    <w:tmpl w:val="2F1C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73470"/>
    <w:multiLevelType w:val="hybridMultilevel"/>
    <w:tmpl w:val="F846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D52DB"/>
    <w:rsid w:val="00042ADC"/>
    <w:rsid w:val="0006258A"/>
    <w:rsid w:val="00097783"/>
    <w:rsid w:val="00162550"/>
    <w:rsid w:val="001814C0"/>
    <w:rsid w:val="001B0EF6"/>
    <w:rsid w:val="001B5907"/>
    <w:rsid w:val="001D1788"/>
    <w:rsid w:val="001D52DB"/>
    <w:rsid w:val="001F4E3D"/>
    <w:rsid w:val="002A14D3"/>
    <w:rsid w:val="002E4527"/>
    <w:rsid w:val="0031775F"/>
    <w:rsid w:val="0032418C"/>
    <w:rsid w:val="00383704"/>
    <w:rsid w:val="003A43C7"/>
    <w:rsid w:val="003D7CA7"/>
    <w:rsid w:val="003E5BAF"/>
    <w:rsid w:val="004D0B54"/>
    <w:rsid w:val="004D212D"/>
    <w:rsid w:val="004D7433"/>
    <w:rsid w:val="004F527F"/>
    <w:rsid w:val="005458A3"/>
    <w:rsid w:val="00572967"/>
    <w:rsid w:val="00592EA9"/>
    <w:rsid w:val="005D3DCE"/>
    <w:rsid w:val="006011C3"/>
    <w:rsid w:val="00611C20"/>
    <w:rsid w:val="006246A7"/>
    <w:rsid w:val="00650D90"/>
    <w:rsid w:val="00657B98"/>
    <w:rsid w:val="00690D2E"/>
    <w:rsid w:val="006A7AB2"/>
    <w:rsid w:val="006F6AA5"/>
    <w:rsid w:val="007177EF"/>
    <w:rsid w:val="00755108"/>
    <w:rsid w:val="0075772E"/>
    <w:rsid w:val="007669C0"/>
    <w:rsid w:val="008062DD"/>
    <w:rsid w:val="0080698A"/>
    <w:rsid w:val="00810700"/>
    <w:rsid w:val="00841F88"/>
    <w:rsid w:val="00862925"/>
    <w:rsid w:val="008D5B87"/>
    <w:rsid w:val="00962573"/>
    <w:rsid w:val="009838A9"/>
    <w:rsid w:val="009924EB"/>
    <w:rsid w:val="00993357"/>
    <w:rsid w:val="009B54B0"/>
    <w:rsid w:val="00A12AE0"/>
    <w:rsid w:val="00A24680"/>
    <w:rsid w:val="00A71DFB"/>
    <w:rsid w:val="00A81ECF"/>
    <w:rsid w:val="00A85199"/>
    <w:rsid w:val="00A923A1"/>
    <w:rsid w:val="00AE4747"/>
    <w:rsid w:val="00B273EF"/>
    <w:rsid w:val="00B36644"/>
    <w:rsid w:val="00BB5371"/>
    <w:rsid w:val="00BD3BAC"/>
    <w:rsid w:val="00C50C2D"/>
    <w:rsid w:val="00D03659"/>
    <w:rsid w:val="00D671BB"/>
    <w:rsid w:val="00D711F4"/>
    <w:rsid w:val="00D80F37"/>
    <w:rsid w:val="00D92599"/>
    <w:rsid w:val="00DD3B07"/>
    <w:rsid w:val="00E051FC"/>
    <w:rsid w:val="00E13426"/>
    <w:rsid w:val="00EA4633"/>
    <w:rsid w:val="00EC119D"/>
    <w:rsid w:val="00F3335A"/>
    <w:rsid w:val="00FC1012"/>
    <w:rsid w:val="00FC3B01"/>
    <w:rsid w:val="00FC44A1"/>
    <w:rsid w:val="00FE3681"/>
    <w:rsid w:val="00FE3EF2"/>
    <w:rsid w:val="00FF1AD9"/>
    <w:rsid w:val="00FF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80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D52DB"/>
    <w:pPr>
      <w:ind w:left="720"/>
      <w:contextualSpacing/>
    </w:pPr>
  </w:style>
  <w:style w:type="table" w:styleId="TableGrid">
    <w:name w:val="Table Grid"/>
    <w:basedOn w:val="TableNormal"/>
    <w:uiPriority w:val="59"/>
    <w:rsid w:val="00A81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062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4A1"/>
  </w:style>
  <w:style w:type="paragraph" w:styleId="Footer">
    <w:name w:val="footer"/>
    <w:basedOn w:val="Normal"/>
    <w:link w:val="FooterChar"/>
    <w:uiPriority w:val="99"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4A1"/>
  </w:style>
  <w:style w:type="character" w:customStyle="1" w:styleId="apple-style-span">
    <w:name w:val="apple-style-span"/>
    <w:basedOn w:val="DefaultParagraphFont"/>
    <w:rsid w:val="00D711F4"/>
  </w:style>
  <w:style w:type="character" w:customStyle="1" w:styleId="apple-converted-space">
    <w:name w:val="apple-converted-space"/>
    <w:basedOn w:val="DefaultParagraphFont"/>
    <w:rsid w:val="00D71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D3C3-42D9-4328-9F69-268235A1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Lovalvo</dc:creator>
  <cp:lastModifiedBy>kelliott</cp:lastModifiedBy>
  <cp:revision>6</cp:revision>
  <cp:lastPrinted>2011-08-06T00:05:00Z</cp:lastPrinted>
  <dcterms:created xsi:type="dcterms:W3CDTF">2011-08-05T22:24:00Z</dcterms:created>
  <dcterms:modified xsi:type="dcterms:W3CDTF">2011-08-06T01:52:00Z</dcterms:modified>
</cp:coreProperties>
</file>