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10543504"/>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834E2A" w:rsidRDefault="00834E2A">
          <w:pPr>
            <w:pStyle w:val="TOCHeading"/>
          </w:pPr>
          <w:r>
            <w:t>Table of Contents</w:t>
          </w:r>
        </w:p>
        <w:p w:rsidR="00F51424" w:rsidRDefault="00834E2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89174303" w:history="1">
            <w:r w:rsidR="00F51424" w:rsidRPr="0095139E">
              <w:rPr>
                <w:rStyle w:val="Hyperlink"/>
                <w:noProof/>
              </w:rPr>
              <w:t>Introduction</w:t>
            </w:r>
            <w:r w:rsidR="00F51424">
              <w:rPr>
                <w:noProof/>
                <w:webHidden/>
              </w:rPr>
              <w:tab/>
            </w:r>
            <w:r w:rsidR="00F51424">
              <w:rPr>
                <w:noProof/>
                <w:webHidden/>
              </w:rPr>
              <w:fldChar w:fldCharType="begin"/>
            </w:r>
            <w:r w:rsidR="00F51424">
              <w:rPr>
                <w:noProof/>
                <w:webHidden/>
              </w:rPr>
              <w:instrText xml:space="preserve"> PAGEREF _Toc289174303 \h </w:instrText>
            </w:r>
            <w:r w:rsidR="00F51424">
              <w:rPr>
                <w:noProof/>
                <w:webHidden/>
              </w:rPr>
            </w:r>
            <w:r w:rsidR="00F51424">
              <w:rPr>
                <w:noProof/>
                <w:webHidden/>
              </w:rPr>
              <w:fldChar w:fldCharType="separate"/>
            </w:r>
            <w:r w:rsidR="00F51424">
              <w:rPr>
                <w:noProof/>
                <w:webHidden/>
              </w:rPr>
              <w:t>1</w:t>
            </w:r>
            <w:r w:rsidR="00F51424">
              <w:rPr>
                <w:noProof/>
                <w:webHidden/>
              </w:rPr>
              <w:fldChar w:fldCharType="end"/>
            </w:r>
          </w:hyperlink>
        </w:p>
        <w:p w:rsidR="00F51424" w:rsidRDefault="00F51424">
          <w:pPr>
            <w:pStyle w:val="TOC1"/>
            <w:tabs>
              <w:tab w:val="right" w:leader="dot" w:pos="9350"/>
            </w:tabs>
            <w:rPr>
              <w:rFonts w:eastAsiaTheme="minorEastAsia"/>
              <w:noProof/>
            </w:rPr>
          </w:pPr>
          <w:hyperlink w:anchor="_Toc289174304" w:history="1">
            <w:r w:rsidRPr="0095139E">
              <w:rPr>
                <w:rStyle w:val="Hyperlink"/>
                <w:noProof/>
              </w:rPr>
              <w:t>Purpose</w:t>
            </w:r>
            <w:r>
              <w:rPr>
                <w:noProof/>
                <w:webHidden/>
              </w:rPr>
              <w:tab/>
            </w:r>
            <w:r>
              <w:rPr>
                <w:noProof/>
                <w:webHidden/>
              </w:rPr>
              <w:fldChar w:fldCharType="begin"/>
            </w:r>
            <w:r>
              <w:rPr>
                <w:noProof/>
                <w:webHidden/>
              </w:rPr>
              <w:instrText xml:space="preserve"> PAGEREF _Toc289174304 \h </w:instrText>
            </w:r>
            <w:r>
              <w:rPr>
                <w:noProof/>
                <w:webHidden/>
              </w:rPr>
            </w:r>
            <w:r>
              <w:rPr>
                <w:noProof/>
                <w:webHidden/>
              </w:rPr>
              <w:fldChar w:fldCharType="separate"/>
            </w:r>
            <w:r>
              <w:rPr>
                <w:noProof/>
                <w:webHidden/>
              </w:rPr>
              <w:t>1</w:t>
            </w:r>
            <w:r>
              <w:rPr>
                <w:noProof/>
                <w:webHidden/>
              </w:rPr>
              <w:fldChar w:fldCharType="end"/>
            </w:r>
          </w:hyperlink>
        </w:p>
        <w:p w:rsidR="00F51424" w:rsidRDefault="00F51424">
          <w:pPr>
            <w:pStyle w:val="TOC1"/>
            <w:tabs>
              <w:tab w:val="right" w:leader="dot" w:pos="9350"/>
            </w:tabs>
            <w:rPr>
              <w:rFonts w:eastAsiaTheme="minorEastAsia"/>
              <w:noProof/>
            </w:rPr>
          </w:pPr>
          <w:hyperlink w:anchor="_Toc289174305" w:history="1">
            <w:r w:rsidRPr="0095139E">
              <w:rPr>
                <w:rStyle w:val="Hyperlink"/>
                <w:noProof/>
              </w:rPr>
              <w:t>Setup Environmental Variables</w:t>
            </w:r>
            <w:r>
              <w:rPr>
                <w:noProof/>
                <w:webHidden/>
              </w:rPr>
              <w:tab/>
            </w:r>
            <w:r>
              <w:rPr>
                <w:noProof/>
                <w:webHidden/>
              </w:rPr>
              <w:fldChar w:fldCharType="begin"/>
            </w:r>
            <w:r>
              <w:rPr>
                <w:noProof/>
                <w:webHidden/>
              </w:rPr>
              <w:instrText xml:space="preserve"> PAGEREF _Toc289174305 \h </w:instrText>
            </w:r>
            <w:r>
              <w:rPr>
                <w:noProof/>
                <w:webHidden/>
              </w:rPr>
            </w:r>
            <w:r>
              <w:rPr>
                <w:noProof/>
                <w:webHidden/>
              </w:rPr>
              <w:fldChar w:fldCharType="separate"/>
            </w:r>
            <w:r>
              <w:rPr>
                <w:noProof/>
                <w:webHidden/>
              </w:rPr>
              <w:t>2</w:t>
            </w:r>
            <w:r>
              <w:rPr>
                <w:noProof/>
                <w:webHidden/>
              </w:rPr>
              <w:fldChar w:fldCharType="end"/>
            </w:r>
          </w:hyperlink>
        </w:p>
        <w:p w:rsidR="00F51424" w:rsidRDefault="00F51424">
          <w:pPr>
            <w:pStyle w:val="TOC1"/>
            <w:tabs>
              <w:tab w:val="right" w:leader="dot" w:pos="9350"/>
            </w:tabs>
            <w:rPr>
              <w:rFonts w:eastAsiaTheme="minorEastAsia"/>
              <w:noProof/>
            </w:rPr>
          </w:pPr>
          <w:hyperlink w:anchor="_Toc289174306" w:history="1">
            <w:r w:rsidRPr="0095139E">
              <w:rPr>
                <w:rStyle w:val="Hyperlink"/>
                <w:noProof/>
              </w:rPr>
              <w:t>Set up your HIPS Vessel File (HVF)</w:t>
            </w:r>
            <w:r>
              <w:rPr>
                <w:noProof/>
                <w:webHidden/>
              </w:rPr>
              <w:tab/>
            </w:r>
            <w:r>
              <w:rPr>
                <w:noProof/>
                <w:webHidden/>
              </w:rPr>
              <w:fldChar w:fldCharType="begin"/>
            </w:r>
            <w:r>
              <w:rPr>
                <w:noProof/>
                <w:webHidden/>
              </w:rPr>
              <w:instrText xml:space="preserve"> PAGEREF _Toc289174306 \h </w:instrText>
            </w:r>
            <w:r>
              <w:rPr>
                <w:noProof/>
                <w:webHidden/>
              </w:rPr>
            </w:r>
            <w:r>
              <w:rPr>
                <w:noProof/>
                <w:webHidden/>
              </w:rPr>
              <w:fldChar w:fldCharType="separate"/>
            </w:r>
            <w:r>
              <w:rPr>
                <w:noProof/>
                <w:webHidden/>
              </w:rPr>
              <w:t>2</w:t>
            </w:r>
            <w:r>
              <w:rPr>
                <w:noProof/>
                <w:webHidden/>
              </w:rPr>
              <w:fldChar w:fldCharType="end"/>
            </w:r>
          </w:hyperlink>
        </w:p>
        <w:p w:rsidR="00F51424" w:rsidRDefault="00F51424">
          <w:pPr>
            <w:pStyle w:val="TOC1"/>
            <w:tabs>
              <w:tab w:val="right" w:leader="dot" w:pos="9350"/>
            </w:tabs>
            <w:rPr>
              <w:rFonts w:eastAsiaTheme="minorEastAsia"/>
              <w:noProof/>
            </w:rPr>
          </w:pPr>
          <w:hyperlink w:anchor="_Toc289174307" w:history="1">
            <w:r w:rsidRPr="0095139E">
              <w:rPr>
                <w:rStyle w:val="Hyperlink"/>
                <w:noProof/>
              </w:rPr>
              <w:t>Processing Lines for CUBE</w:t>
            </w:r>
            <w:r>
              <w:rPr>
                <w:noProof/>
                <w:webHidden/>
              </w:rPr>
              <w:tab/>
            </w:r>
            <w:r>
              <w:rPr>
                <w:noProof/>
                <w:webHidden/>
              </w:rPr>
              <w:fldChar w:fldCharType="begin"/>
            </w:r>
            <w:r>
              <w:rPr>
                <w:noProof/>
                <w:webHidden/>
              </w:rPr>
              <w:instrText xml:space="preserve"> PAGEREF _Toc289174307 \h </w:instrText>
            </w:r>
            <w:r>
              <w:rPr>
                <w:noProof/>
                <w:webHidden/>
              </w:rPr>
            </w:r>
            <w:r>
              <w:rPr>
                <w:noProof/>
                <w:webHidden/>
              </w:rPr>
              <w:fldChar w:fldCharType="separate"/>
            </w:r>
            <w:r>
              <w:rPr>
                <w:noProof/>
                <w:webHidden/>
              </w:rPr>
              <w:t>5</w:t>
            </w:r>
            <w:r>
              <w:rPr>
                <w:noProof/>
                <w:webHidden/>
              </w:rPr>
              <w:fldChar w:fldCharType="end"/>
            </w:r>
          </w:hyperlink>
        </w:p>
        <w:p w:rsidR="00F51424" w:rsidRDefault="00F51424">
          <w:pPr>
            <w:pStyle w:val="TOC1"/>
            <w:tabs>
              <w:tab w:val="right" w:leader="dot" w:pos="9350"/>
            </w:tabs>
            <w:rPr>
              <w:rFonts w:eastAsiaTheme="minorEastAsia"/>
              <w:noProof/>
            </w:rPr>
          </w:pPr>
          <w:hyperlink w:anchor="_Toc289174308" w:history="1">
            <w:r w:rsidRPr="0095139E">
              <w:rPr>
                <w:rStyle w:val="Hyperlink"/>
                <w:noProof/>
              </w:rPr>
              <w:t>Build CUBE surface</w:t>
            </w:r>
            <w:r>
              <w:rPr>
                <w:noProof/>
                <w:webHidden/>
              </w:rPr>
              <w:tab/>
            </w:r>
            <w:r>
              <w:rPr>
                <w:noProof/>
                <w:webHidden/>
              </w:rPr>
              <w:fldChar w:fldCharType="begin"/>
            </w:r>
            <w:r>
              <w:rPr>
                <w:noProof/>
                <w:webHidden/>
              </w:rPr>
              <w:instrText xml:space="preserve"> PAGEREF _Toc289174308 \h </w:instrText>
            </w:r>
            <w:r>
              <w:rPr>
                <w:noProof/>
                <w:webHidden/>
              </w:rPr>
            </w:r>
            <w:r>
              <w:rPr>
                <w:noProof/>
                <w:webHidden/>
              </w:rPr>
              <w:fldChar w:fldCharType="separate"/>
            </w:r>
            <w:r>
              <w:rPr>
                <w:noProof/>
                <w:webHidden/>
              </w:rPr>
              <w:t>6</w:t>
            </w:r>
            <w:r>
              <w:rPr>
                <w:noProof/>
                <w:webHidden/>
              </w:rPr>
              <w:fldChar w:fldCharType="end"/>
            </w:r>
          </w:hyperlink>
        </w:p>
        <w:p w:rsidR="00F51424" w:rsidRDefault="00F51424">
          <w:pPr>
            <w:pStyle w:val="TOC2"/>
            <w:tabs>
              <w:tab w:val="right" w:leader="dot" w:pos="9350"/>
            </w:tabs>
            <w:rPr>
              <w:rFonts w:eastAsiaTheme="minorEastAsia"/>
              <w:noProof/>
            </w:rPr>
          </w:pPr>
          <w:hyperlink w:anchor="_Toc289174309" w:history="1">
            <w:r w:rsidRPr="0095139E">
              <w:rPr>
                <w:rStyle w:val="Hyperlink"/>
                <w:noProof/>
              </w:rPr>
              <w:t>Appendix 1 – Sources of Uncertainty</w:t>
            </w:r>
            <w:r>
              <w:rPr>
                <w:noProof/>
                <w:webHidden/>
              </w:rPr>
              <w:tab/>
            </w:r>
            <w:r>
              <w:rPr>
                <w:noProof/>
                <w:webHidden/>
              </w:rPr>
              <w:fldChar w:fldCharType="begin"/>
            </w:r>
            <w:r>
              <w:rPr>
                <w:noProof/>
                <w:webHidden/>
              </w:rPr>
              <w:instrText xml:space="preserve"> PAGEREF _Toc289174309 \h </w:instrText>
            </w:r>
            <w:r>
              <w:rPr>
                <w:noProof/>
                <w:webHidden/>
              </w:rPr>
            </w:r>
            <w:r>
              <w:rPr>
                <w:noProof/>
                <w:webHidden/>
              </w:rPr>
              <w:fldChar w:fldCharType="separate"/>
            </w:r>
            <w:r>
              <w:rPr>
                <w:noProof/>
                <w:webHidden/>
              </w:rPr>
              <w:t>9</w:t>
            </w:r>
            <w:r>
              <w:rPr>
                <w:noProof/>
                <w:webHidden/>
              </w:rPr>
              <w:fldChar w:fldCharType="end"/>
            </w:r>
          </w:hyperlink>
        </w:p>
        <w:p w:rsidR="00F51424" w:rsidRDefault="00F51424">
          <w:pPr>
            <w:pStyle w:val="TOC2"/>
            <w:tabs>
              <w:tab w:val="right" w:leader="dot" w:pos="9350"/>
            </w:tabs>
            <w:rPr>
              <w:rFonts w:eastAsiaTheme="minorEastAsia"/>
              <w:noProof/>
            </w:rPr>
          </w:pPr>
          <w:hyperlink w:anchor="_Toc289174310" w:history="1">
            <w:r w:rsidRPr="0095139E">
              <w:rPr>
                <w:rStyle w:val="Hyperlink"/>
                <w:noProof/>
              </w:rPr>
              <w:t>Appendix 2 – Compute TPU Discussion</w:t>
            </w:r>
            <w:r>
              <w:rPr>
                <w:noProof/>
                <w:webHidden/>
              </w:rPr>
              <w:tab/>
            </w:r>
            <w:r>
              <w:rPr>
                <w:noProof/>
                <w:webHidden/>
              </w:rPr>
              <w:fldChar w:fldCharType="begin"/>
            </w:r>
            <w:r>
              <w:rPr>
                <w:noProof/>
                <w:webHidden/>
              </w:rPr>
              <w:instrText xml:space="preserve"> PAGEREF _Toc289174310 \h </w:instrText>
            </w:r>
            <w:r>
              <w:rPr>
                <w:noProof/>
                <w:webHidden/>
              </w:rPr>
            </w:r>
            <w:r>
              <w:rPr>
                <w:noProof/>
                <w:webHidden/>
              </w:rPr>
              <w:fldChar w:fldCharType="separate"/>
            </w:r>
            <w:r>
              <w:rPr>
                <w:noProof/>
                <w:webHidden/>
              </w:rPr>
              <w:t>10</w:t>
            </w:r>
            <w:r>
              <w:rPr>
                <w:noProof/>
                <w:webHidden/>
              </w:rPr>
              <w:fldChar w:fldCharType="end"/>
            </w:r>
          </w:hyperlink>
        </w:p>
        <w:p w:rsidR="00F51424" w:rsidRDefault="00F51424">
          <w:pPr>
            <w:pStyle w:val="TOC2"/>
            <w:tabs>
              <w:tab w:val="right" w:leader="dot" w:pos="9350"/>
            </w:tabs>
            <w:rPr>
              <w:rFonts w:eastAsiaTheme="minorEastAsia"/>
              <w:noProof/>
            </w:rPr>
          </w:pPr>
          <w:hyperlink w:anchor="_Toc289174311" w:history="1">
            <w:r w:rsidRPr="0095139E">
              <w:rPr>
                <w:rStyle w:val="Hyperlink"/>
                <w:noProof/>
              </w:rPr>
              <w:t>Appendix 3 – CUBE</w:t>
            </w:r>
            <w:r>
              <w:rPr>
                <w:noProof/>
                <w:webHidden/>
              </w:rPr>
              <w:tab/>
            </w:r>
            <w:r>
              <w:rPr>
                <w:noProof/>
                <w:webHidden/>
              </w:rPr>
              <w:fldChar w:fldCharType="begin"/>
            </w:r>
            <w:r>
              <w:rPr>
                <w:noProof/>
                <w:webHidden/>
              </w:rPr>
              <w:instrText xml:space="preserve"> PAGEREF _Toc289174311 \h </w:instrText>
            </w:r>
            <w:r>
              <w:rPr>
                <w:noProof/>
                <w:webHidden/>
              </w:rPr>
            </w:r>
            <w:r>
              <w:rPr>
                <w:noProof/>
                <w:webHidden/>
              </w:rPr>
              <w:fldChar w:fldCharType="separate"/>
            </w:r>
            <w:r>
              <w:rPr>
                <w:noProof/>
                <w:webHidden/>
              </w:rPr>
              <w:t>12</w:t>
            </w:r>
            <w:r>
              <w:rPr>
                <w:noProof/>
                <w:webHidden/>
              </w:rPr>
              <w:fldChar w:fldCharType="end"/>
            </w:r>
          </w:hyperlink>
        </w:p>
        <w:p w:rsidR="00834E2A" w:rsidRDefault="00834E2A">
          <w:r>
            <w:fldChar w:fldCharType="end"/>
          </w:r>
        </w:p>
      </w:sdtContent>
    </w:sdt>
    <w:p w:rsidR="00CE5CAD" w:rsidRDefault="00CE5CAD" w:rsidP="0083406E"/>
    <w:p w:rsidR="00CE5CAD" w:rsidRDefault="00CE5CAD">
      <w:r>
        <w:br w:type="page"/>
      </w:r>
    </w:p>
    <w:p w:rsidR="0012476D" w:rsidRDefault="0012476D" w:rsidP="0012476D">
      <w:pPr>
        <w:pStyle w:val="Title"/>
      </w:pPr>
      <w:r>
        <w:lastRenderedPageBreak/>
        <w:t>CUBE SOP</w:t>
      </w:r>
    </w:p>
    <w:p w:rsidR="0012476D" w:rsidRDefault="0012476D" w:rsidP="0012476D">
      <w:pPr>
        <w:pStyle w:val="Heading1"/>
        <w:rPr>
          <w:noProof/>
        </w:rPr>
      </w:pPr>
      <w:bookmarkStart w:id="0" w:name="_Toc289174303"/>
      <w:r w:rsidRPr="0012476D">
        <w:t>Introduction</w:t>
      </w:r>
      <w:bookmarkEnd w:id="0"/>
    </w:p>
    <w:p w:rsidR="0012476D" w:rsidRDefault="0012476D" w:rsidP="0012476D">
      <w:r>
        <w:t>Over, say, a 25mx25m patch of seafloor at 1500m of depth, there may be as many as 30 soundings for the Kongsberg EM302</w:t>
      </w:r>
      <w:bookmarkStart w:id="1" w:name="_GoBack"/>
      <w:bookmarkEnd w:id="1"/>
      <w:r>
        <w:t xml:space="preserve">.  We want to know which sounding best represents the depth of the seafloor for that area.  So there's this tool, called CUBE.  Based on all the individual soundings that hit any given area, CUBE evaluates the sounding that, statistically, most likely represents the true sea floor depth.  To do this, CUBE evaluates each sounding’s vertical and horizontal uncertainty, groups soundings into clusters of significant agreement called hypotheses, and then selects the </w:t>
      </w:r>
      <w:r w:rsidR="00F51424">
        <w:t>hypothesis</w:t>
      </w:r>
      <w:r>
        <w:t xml:space="preserve"> that has the strongest reliability. This has the advantage of allowing the </w:t>
      </w:r>
      <w:proofErr w:type="spellStart"/>
      <w:r>
        <w:t>hydrographer</w:t>
      </w:r>
      <w:proofErr w:type="spellEnd"/>
      <w:r>
        <w:t xml:space="preserve"> to focus, not on killing all noise, but on managing the surface behavior.  CUBE also takes subjective guess-</w:t>
      </w:r>
      <w:proofErr w:type="spellStart"/>
      <w:r>
        <w:t>timation</w:t>
      </w:r>
      <w:proofErr w:type="spellEnd"/>
      <w:r>
        <w:t xml:space="preserve"> out of the surface-rendering workflow.</w:t>
      </w:r>
    </w:p>
    <w:p w:rsidR="0012476D" w:rsidRDefault="0012476D" w:rsidP="0012476D">
      <w:r>
        <w:t>What follows is a step-by-step guide on how to create CUBE surfaces.  Additionally, there are appendices that provide a greater level of detail regarding sources of uncertainty, their place in the workflow, and a detailed description of CUBE’s operation.</w:t>
      </w:r>
    </w:p>
    <w:p w:rsidR="00936F6D" w:rsidRDefault="00936F6D" w:rsidP="0083406E">
      <w:bookmarkStart w:id="2" w:name="_Toc289174304"/>
      <w:r w:rsidRPr="00CE5CAD">
        <w:rPr>
          <w:rStyle w:val="Heading1Char"/>
        </w:rPr>
        <w:t>Purpose</w:t>
      </w:r>
      <w:bookmarkEnd w:id="2"/>
      <w:r>
        <w:t xml:space="preserve">: </w:t>
      </w:r>
      <w:r w:rsidR="00A64E11">
        <w:t xml:space="preserve">To prepare for generating CUBE surfaces, </w:t>
      </w:r>
      <w:r>
        <w:t>this document describes how to set up for TPE calculation in CARIS.</w:t>
      </w:r>
    </w:p>
    <w:p w:rsidR="0012476D" w:rsidRDefault="0012476D" w:rsidP="0083406E"/>
    <w:p w:rsidR="0012476D" w:rsidRDefault="0012476D" w:rsidP="0083406E"/>
    <w:p w:rsidR="0012476D" w:rsidRDefault="0012476D" w:rsidP="0083406E"/>
    <w:p w:rsidR="0012476D" w:rsidRDefault="0012476D" w:rsidP="0083406E"/>
    <w:p w:rsidR="0012476D" w:rsidRDefault="0012476D" w:rsidP="0083406E"/>
    <w:p w:rsidR="0012476D" w:rsidRDefault="0012476D" w:rsidP="0083406E"/>
    <w:p w:rsidR="0012476D" w:rsidRDefault="0012476D" w:rsidP="0083406E"/>
    <w:p w:rsidR="0012476D" w:rsidRDefault="0012476D" w:rsidP="0083406E"/>
    <w:p w:rsidR="0012476D" w:rsidRDefault="0012476D" w:rsidP="0083406E"/>
    <w:p w:rsidR="0012476D" w:rsidRDefault="0012476D" w:rsidP="0083406E"/>
    <w:p w:rsidR="0012476D" w:rsidRDefault="0012476D" w:rsidP="0083406E"/>
    <w:p w:rsidR="0012476D" w:rsidRDefault="0012476D" w:rsidP="0083406E"/>
    <w:p w:rsidR="0012476D" w:rsidRDefault="0012476D" w:rsidP="0083406E"/>
    <w:p w:rsidR="0012476D" w:rsidRDefault="0012476D" w:rsidP="0083406E"/>
    <w:p w:rsidR="00936F6D" w:rsidRDefault="0095745F" w:rsidP="0095745F">
      <w:pPr>
        <w:pStyle w:val="Heading1"/>
      </w:pPr>
      <w:bookmarkStart w:id="3" w:name="_Toc289174305"/>
      <w:r>
        <w:t>Setup Environmental Variables</w:t>
      </w:r>
      <w:bookmarkEnd w:id="3"/>
    </w:p>
    <w:p w:rsidR="00A64E11" w:rsidRDefault="008A7B09" w:rsidP="00A64E11">
      <w:pPr>
        <w:pStyle w:val="ListParagraph"/>
        <w:numPr>
          <w:ilvl w:val="0"/>
          <w:numId w:val="1"/>
        </w:numPr>
      </w:pPr>
      <w:r>
        <w:t xml:space="preserve">Before converting </w:t>
      </w:r>
      <w:proofErr w:type="spellStart"/>
      <w:r>
        <w:t>raw.all</w:t>
      </w:r>
      <w:proofErr w:type="spellEnd"/>
      <w:r>
        <w:t xml:space="preserve"> files, set up </w:t>
      </w:r>
      <w:r w:rsidR="00A64E11">
        <w:t>your CARIS Environmental Variables</w:t>
      </w:r>
      <w:r w:rsidR="00D70540">
        <w:t xml:space="preserve"> in CARIS</w:t>
      </w:r>
      <w:r>
        <w:t>:</w:t>
      </w:r>
      <w:r w:rsidR="00A64E11" w:rsidRPr="00A64E11">
        <w:t xml:space="preserve"> </w:t>
      </w:r>
    </w:p>
    <w:p w:rsidR="004F0876" w:rsidRDefault="00A64E11" w:rsidP="0083406E">
      <w:pPr>
        <w:pStyle w:val="ListParagraph"/>
        <w:numPr>
          <w:ilvl w:val="0"/>
          <w:numId w:val="1"/>
        </w:numPr>
      </w:pPr>
      <w:r>
        <w:rPr>
          <w:noProof/>
        </w:rPr>
        <w:drawing>
          <wp:anchor distT="0" distB="0" distL="114300" distR="114300" simplePos="0" relativeHeight="251658240" behindDoc="1" locked="0" layoutInCell="1" allowOverlap="1">
            <wp:simplePos x="0" y="0"/>
            <wp:positionH relativeFrom="column">
              <wp:posOffset>2033905</wp:posOffset>
            </wp:positionH>
            <wp:positionV relativeFrom="paragraph">
              <wp:posOffset>11430</wp:posOffset>
            </wp:positionV>
            <wp:extent cx="3638550" cy="2976245"/>
            <wp:effectExtent l="19050" t="0" r="0" b="0"/>
            <wp:wrapTight wrapText="bothSides">
              <wp:wrapPolygon edited="0">
                <wp:start x="-113" y="0"/>
                <wp:lineTo x="-113" y="21429"/>
                <wp:lineTo x="21600" y="21429"/>
                <wp:lineTo x="21600" y="0"/>
                <wp:lineTo x="-11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38550" cy="2976245"/>
                    </a:xfrm>
                    <a:prstGeom prst="rect">
                      <a:avLst/>
                    </a:prstGeom>
                    <a:noFill/>
                    <a:ln w="9525">
                      <a:noFill/>
                      <a:miter lim="800000"/>
                      <a:headEnd/>
                      <a:tailEnd/>
                    </a:ln>
                  </pic:spPr>
                </pic:pic>
              </a:graphicData>
            </a:graphic>
          </wp:anchor>
        </w:drawing>
      </w:r>
      <w:r w:rsidR="0083406E">
        <w:t xml:space="preserve">Choose device model </w:t>
      </w:r>
      <w:r w:rsidR="00A86896">
        <w:t xml:space="preserve">Tools-&gt; </w:t>
      </w:r>
      <w:r w:rsidR="0083406E">
        <w:t>options -</w:t>
      </w:r>
      <w:r w:rsidR="00A86896">
        <w:t>&gt;</w:t>
      </w:r>
      <w:r w:rsidR="0083406E">
        <w:t xml:space="preserve"> environment</w:t>
      </w:r>
    </w:p>
    <w:p w:rsidR="0083406E" w:rsidRDefault="00A64E11" w:rsidP="0083406E">
      <w:pPr>
        <w:pStyle w:val="ListParagraph"/>
        <w:numPr>
          <w:ilvl w:val="1"/>
          <w:numId w:val="1"/>
        </w:num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116.75pt;margin-top:56.45pt;width:55.9pt;height:55.25pt;z-index:251659264" o:connectortype="straight" strokeweight="1.5pt">
            <v:stroke endarrow="block"/>
          </v:shape>
        </w:pict>
      </w:r>
      <w:r w:rsidR="00D70540">
        <w:t>C:-&gt;</w:t>
      </w:r>
      <w:r w:rsidR="0083406E">
        <w:t>Hips-</w:t>
      </w:r>
      <w:r w:rsidR="00D70540">
        <w:t>&gt;61&gt; system-&gt; device</w:t>
      </w:r>
      <w:r w:rsidR="0083406E">
        <w:t>models-2010.xml</w:t>
      </w:r>
    </w:p>
    <w:p w:rsidR="00A64E11" w:rsidRDefault="00A64E11" w:rsidP="00A64E11">
      <w:pPr>
        <w:pStyle w:val="ListParagraph"/>
      </w:pPr>
    </w:p>
    <w:p w:rsidR="00A64E11" w:rsidRDefault="00A64E11" w:rsidP="00A64E11">
      <w:pPr>
        <w:pStyle w:val="ListParagraph"/>
      </w:pPr>
    </w:p>
    <w:p w:rsidR="0083406E" w:rsidRDefault="00A86896" w:rsidP="0083406E">
      <w:pPr>
        <w:pStyle w:val="ListParagraph"/>
        <w:numPr>
          <w:ilvl w:val="0"/>
          <w:numId w:val="1"/>
        </w:numPr>
      </w:pPr>
      <w:r>
        <w:t>Set cube parameter file</w:t>
      </w:r>
    </w:p>
    <w:p w:rsidR="00A64E11" w:rsidRDefault="00A64E11" w:rsidP="00A64E11">
      <w:pPr>
        <w:pStyle w:val="ListParagraph"/>
        <w:numPr>
          <w:ilvl w:val="1"/>
          <w:numId w:val="1"/>
        </w:numPr>
      </w:pPr>
      <w:r>
        <w:rPr>
          <w:noProof/>
        </w:rPr>
        <w:pict>
          <v:shape id="_x0000_s1027" type="#_x0000_t32" style="position:absolute;left:0;text-align:left;margin-left:149.6pt;margin-top:10.9pt;width:23.05pt;height:20.55pt;flip:y;z-index:251660288" o:connectortype="straight" strokeweight="1.5pt">
            <v:stroke endarrow="block"/>
          </v:shape>
        </w:pict>
      </w:r>
      <w:r w:rsidR="00D70540">
        <w:t>C:-&gt;HIPS-&gt;61&gt; Template-&gt;</w:t>
      </w:r>
      <w:r w:rsidR="0083406E">
        <w:t>Cube-params-okex.xml (adapted from default file)</w:t>
      </w:r>
    </w:p>
    <w:p w:rsidR="0095745F" w:rsidRDefault="0095745F" w:rsidP="0095745F">
      <w:pPr>
        <w:pStyle w:val="Heading1"/>
      </w:pPr>
      <w:r>
        <w:rPr>
          <w:noProof/>
        </w:rPr>
        <w:pict>
          <v:roundrect id="_x0000_s1028" style="position:absolute;margin-left:325.1pt;margin-top:45.5pt;width:24.4pt;height:23.8pt;z-index:251662336" arcsize="10923f" filled="f" strokecolor="#365f91 [2404]" strokeweight="2.25pt"/>
        </w:pict>
      </w:r>
      <w:r>
        <w:rPr>
          <w:noProof/>
        </w:rPr>
        <w:drawing>
          <wp:anchor distT="0" distB="0" distL="114300" distR="114300" simplePos="0" relativeHeight="251661312" behindDoc="0" locked="0" layoutInCell="1" allowOverlap="1">
            <wp:simplePos x="0" y="0"/>
            <wp:positionH relativeFrom="column">
              <wp:posOffset>4164922</wp:posOffset>
            </wp:positionH>
            <wp:positionV relativeFrom="paragraph">
              <wp:posOffset>592449</wp:posOffset>
            </wp:positionV>
            <wp:extent cx="1570053" cy="319596"/>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570053" cy="319596"/>
                    </a:xfrm>
                    <a:prstGeom prst="rect">
                      <a:avLst/>
                    </a:prstGeom>
                    <a:noFill/>
                    <a:ln w="9525">
                      <a:noFill/>
                      <a:miter lim="800000"/>
                      <a:headEnd/>
                      <a:tailEnd/>
                    </a:ln>
                  </pic:spPr>
                </pic:pic>
              </a:graphicData>
            </a:graphic>
          </wp:anchor>
        </w:drawing>
      </w:r>
      <w:bookmarkStart w:id="4" w:name="_Toc289174306"/>
      <w:r w:rsidR="0083406E">
        <w:t xml:space="preserve">Set up </w:t>
      </w:r>
      <w:r w:rsidR="0065310D">
        <w:t>your HIPS Vessel File (HVF)</w:t>
      </w:r>
      <w:bookmarkEnd w:id="4"/>
      <w:r w:rsidR="0083406E">
        <w:t xml:space="preserve"> </w:t>
      </w:r>
      <w:r>
        <w:br/>
      </w:r>
    </w:p>
    <w:p w:rsidR="00376E78" w:rsidRDefault="0095745F" w:rsidP="00A86896">
      <w:pPr>
        <w:pStyle w:val="ListParagraph"/>
        <w:numPr>
          <w:ilvl w:val="0"/>
          <w:numId w:val="1"/>
        </w:numPr>
      </w:pPr>
      <w:r>
        <w:t xml:space="preserve">Press this button </w:t>
      </w:r>
      <w:r w:rsidR="00A86896">
        <w:t>Or go to CARIS-&gt;Edit-&gt;Vessel Configuration</w:t>
      </w:r>
    </w:p>
    <w:p w:rsidR="0083406E" w:rsidRDefault="0074733C" w:rsidP="0095745F">
      <w:pPr>
        <w:pStyle w:val="ListParagraph"/>
        <w:numPr>
          <w:ilvl w:val="1"/>
          <w:numId w:val="1"/>
        </w:numPr>
        <w:ind w:left="1080"/>
      </w:pPr>
      <w:r>
        <w:t>Step 1</w:t>
      </w:r>
      <w:r w:rsidR="00A86896">
        <w:t>: File  -&gt;</w:t>
      </w:r>
      <w:r w:rsidR="00376E78">
        <w:t xml:space="preserve"> New</w:t>
      </w:r>
    </w:p>
    <w:p w:rsidR="00A86896" w:rsidRDefault="0095745F" w:rsidP="0095745F">
      <w:pPr>
        <w:pStyle w:val="ListParagraph"/>
        <w:numPr>
          <w:ilvl w:val="2"/>
          <w:numId w:val="1"/>
        </w:numPr>
        <w:ind w:left="1440"/>
      </w:pPr>
      <w:r>
        <w:rPr>
          <w:noProof/>
        </w:rPr>
        <w:drawing>
          <wp:anchor distT="0" distB="0" distL="114300" distR="114300" simplePos="0" relativeHeight="251670528" behindDoc="1" locked="0" layoutInCell="1" allowOverlap="1">
            <wp:simplePos x="0" y="0"/>
            <wp:positionH relativeFrom="column">
              <wp:posOffset>2238375</wp:posOffset>
            </wp:positionH>
            <wp:positionV relativeFrom="paragraph">
              <wp:posOffset>156210</wp:posOffset>
            </wp:positionV>
            <wp:extent cx="3602990" cy="2503170"/>
            <wp:effectExtent l="19050" t="0" r="0" b="0"/>
            <wp:wrapTight wrapText="bothSides">
              <wp:wrapPolygon edited="0">
                <wp:start x="-114" y="0"/>
                <wp:lineTo x="-114" y="21370"/>
                <wp:lineTo x="21585" y="21370"/>
                <wp:lineTo x="21585" y="0"/>
                <wp:lineTo x="-11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602990" cy="2503170"/>
                    </a:xfrm>
                    <a:prstGeom prst="rect">
                      <a:avLst/>
                    </a:prstGeom>
                    <a:noFill/>
                    <a:ln w="9525">
                      <a:noFill/>
                      <a:miter lim="800000"/>
                      <a:headEnd/>
                      <a:tailEnd/>
                    </a:ln>
                  </pic:spPr>
                </pic:pic>
              </a:graphicData>
            </a:graphic>
          </wp:anchor>
        </w:drawing>
      </w:r>
      <w:r w:rsidR="00A86896">
        <w:t>Choose a name for this vessel file.  When you create a project, later in HIPS, this is the name of the file you will select when you Add Vessel.</w:t>
      </w:r>
    </w:p>
    <w:p w:rsidR="00A86896" w:rsidRDefault="00A86896" w:rsidP="0095745F">
      <w:pPr>
        <w:pStyle w:val="ListParagraph"/>
        <w:numPr>
          <w:ilvl w:val="2"/>
          <w:numId w:val="1"/>
        </w:numPr>
        <w:ind w:left="1440"/>
      </w:pPr>
      <w:r>
        <w:t>Choose a date that precedes your survey, or there will be a timestamp conflict later, when converting lines with this device model.</w:t>
      </w:r>
    </w:p>
    <w:p w:rsidR="00594FF9" w:rsidRDefault="00594FF9" w:rsidP="00594FF9">
      <w:pPr>
        <w:pStyle w:val="ListParagraph"/>
        <w:ind w:left="1440"/>
      </w:pPr>
    </w:p>
    <w:p w:rsidR="00594FF9" w:rsidRDefault="00594FF9" w:rsidP="00594FF9">
      <w:pPr>
        <w:pStyle w:val="ListParagraph"/>
        <w:ind w:left="1440"/>
      </w:pPr>
    </w:p>
    <w:p w:rsidR="0074733C" w:rsidRDefault="0074733C" w:rsidP="0083406E">
      <w:pPr>
        <w:pStyle w:val="ListParagraph"/>
        <w:numPr>
          <w:ilvl w:val="1"/>
          <w:numId w:val="1"/>
        </w:numPr>
      </w:pPr>
      <w:r>
        <w:t>Step 2</w:t>
      </w:r>
      <w:r w:rsidR="00594FF9">
        <w:t>:</w:t>
      </w:r>
      <w:r>
        <w:t xml:space="preserve"> </w:t>
      </w:r>
      <w:r w:rsidR="00594FF9">
        <w:t>C</w:t>
      </w:r>
      <w:r>
        <w:t xml:space="preserve">hoose </w:t>
      </w:r>
      <w:r w:rsidR="00594FF9">
        <w:t>Multibeam</w:t>
      </w:r>
    </w:p>
    <w:p w:rsidR="00C47B91" w:rsidRDefault="00C47B91" w:rsidP="00594FF9">
      <w:pPr>
        <w:pStyle w:val="ListParagraph"/>
        <w:ind w:left="1440"/>
      </w:pPr>
      <w:r>
        <w:rPr>
          <w:noProof/>
        </w:rPr>
        <w:drawing>
          <wp:inline distT="0" distB="0" distL="0" distR="0">
            <wp:extent cx="4521843" cy="312494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523025" cy="3125757"/>
                    </a:xfrm>
                    <a:prstGeom prst="rect">
                      <a:avLst/>
                    </a:prstGeom>
                    <a:noFill/>
                    <a:ln w="9525">
                      <a:noFill/>
                      <a:miter lim="800000"/>
                      <a:headEnd/>
                      <a:tailEnd/>
                    </a:ln>
                  </pic:spPr>
                </pic:pic>
              </a:graphicData>
            </a:graphic>
          </wp:inline>
        </w:drawing>
      </w:r>
    </w:p>
    <w:p w:rsidR="00594FF9" w:rsidRDefault="00594FF9" w:rsidP="00594FF9">
      <w:pPr>
        <w:pStyle w:val="ListParagraph"/>
        <w:ind w:left="1440"/>
      </w:pPr>
    </w:p>
    <w:p w:rsidR="00594FF9" w:rsidRDefault="00594FF9" w:rsidP="00594FF9">
      <w:pPr>
        <w:pStyle w:val="ListParagraph"/>
        <w:ind w:left="1440"/>
      </w:pPr>
    </w:p>
    <w:p w:rsidR="0074733C" w:rsidRDefault="00594FF9" w:rsidP="00594FF9">
      <w:pPr>
        <w:pStyle w:val="ListParagraph"/>
        <w:numPr>
          <w:ilvl w:val="1"/>
          <w:numId w:val="1"/>
        </w:numPr>
      </w:pPr>
      <w:r>
        <w:t xml:space="preserve">Step 3: Choose </w:t>
      </w:r>
      <w:r w:rsidR="0074733C">
        <w:t xml:space="preserve">1 </w:t>
      </w:r>
      <w:r>
        <w:t>Trans</w:t>
      </w:r>
      <w:r w:rsidR="0074733C">
        <w:t xml:space="preserve">ducer, 432 beams, Device model </w:t>
      </w:r>
      <w:proofErr w:type="spellStart"/>
      <w:r w:rsidR="0074733C">
        <w:t>Simrad</w:t>
      </w:r>
      <w:proofErr w:type="spellEnd"/>
      <w:r w:rsidR="0074733C">
        <w:t xml:space="preserve"> 302</w:t>
      </w:r>
      <w:r w:rsidR="0065310D">
        <w:t xml:space="preserve"> – if the sonar you are using is not listed, contact check to make sure you have selected the most up-to-date devicemodel.xml in your environmental variables. Then start a new HVF. </w:t>
      </w:r>
    </w:p>
    <w:p w:rsidR="00594FF9" w:rsidRDefault="00594FF9" w:rsidP="00594FF9">
      <w:pPr>
        <w:pStyle w:val="ListParagraph"/>
        <w:ind w:left="1440"/>
        <w:rPr>
          <w:noProof/>
        </w:rPr>
      </w:pPr>
      <w:r>
        <w:rPr>
          <w:noProof/>
        </w:rPr>
        <w:drawing>
          <wp:inline distT="0" distB="0" distL="0" distR="0">
            <wp:extent cx="4504959" cy="312494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509825" cy="3128315"/>
                    </a:xfrm>
                    <a:prstGeom prst="rect">
                      <a:avLst/>
                    </a:prstGeom>
                    <a:noFill/>
                    <a:ln w="9525">
                      <a:noFill/>
                      <a:miter lim="800000"/>
                      <a:headEnd/>
                      <a:tailEnd/>
                    </a:ln>
                  </pic:spPr>
                </pic:pic>
              </a:graphicData>
            </a:graphic>
          </wp:inline>
        </w:drawing>
      </w:r>
      <w:r>
        <w:rPr>
          <w:noProof/>
        </w:rPr>
        <w:t xml:space="preserve"> </w:t>
      </w:r>
    </w:p>
    <w:p w:rsidR="00594FF9" w:rsidRDefault="00594FF9" w:rsidP="00594FF9">
      <w:pPr>
        <w:pStyle w:val="ListParagraph"/>
        <w:ind w:left="1440"/>
        <w:rPr>
          <w:noProof/>
        </w:rPr>
      </w:pPr>
    </w:p>
    <w:p w:rsidR="00594FF9" w:rsidRDefault="00594FF9" w:rsidP="00594FF9">
      <w:pPr>
        <w:pStyle w:val="ListParagraph"/>
        <w:ind w:left="1440"/>
        <w:rPr>
          <w:noProof/>
        </w:rPr>
      </w:pPr>
    </w:p>
    <w:p w:rsidR="00594FF9" w:rsidRDefault="00594FF9" w:rsidP="00594FF9">
      <w:pPr>
        <w:pStyle w:val="ListParagraph"/>
        <w:ind w:left="1440"/>
      </w:pPr>
    </w:p>
    <w:p w:rsidR="0074733C" w:rsidRDefault="0074733C" w:rsidP="0083406E">
      <w:pPr>
        <w:pStyle w:val="ListParagraph"/>
        <w:numPr>
          <w:ilvl w:val="1"/>
          <w:numId w:val="1"/>
        </w:numPr>
      </w:pPr>
      <w:r>
        <w:t xml:space="preserve">Step 4 – </w:t>
      </w:r>
      <w:r w:rsidR="00594FF9">
        <w:t>C</w:t>
      </w:r>
      <w:r>
        <w:t xml:space="preserve">heck all: </w:t>
      </w:r>
      <w:r w:rsidR="00594FF9">
        <w:t>Heave</w:t>
      </w:r>
      <w:r>
        <w:t xml:space="preserve">, </w:t>
      </w:r>
      <w:r w:rsidR="00594FF9">
        <w:t>Pitch</w:t>
      </w:r>
      <w:r>
        <w:t xml:space="preserve">, </w:t>
      </w:r>
      <w:proofErr w:type="gramStart"/>
      <w:r w:rsidR="00594FF9">
        <w:t>Roll</w:t>
      </w:r>
      <w:proofErr w:type="gramEnd"/>
      <w:r>
        <w:t xml:space="preserve">. </w:t>
      </w:r>
      <w:r w:rsidR="00594FF9">
        <w:t xml:space="preserve"> D</w:t>
      </w:r>
      <w:r>
        <w:t>o not check any “apply in post proc</w:t>
      </w:r>
      <w:r w:rsidR="00594FF9">
        <w:t>essing</w:t>
      </w:r>
      <w:r>
        <w:t>”</w:t>
      </w:r>
    </w:p>
    <w:p w:rsidR="00594FF9" w:rsidRDefault="00594FF9" w:rsidP="00594FF9">
      <w:pPr>
        <w:pStyle w:val="ListParagraph"/>
        <w:ind w:left="1440"/>
      </w:pPr>
      <w:r>
        <w:rPr>
          <w:noProof/>
        </w:rPr>
        <w:drawing>
          <wp:inline distT="0" distB="0" distL="0" distR="0">
            <wp:extent cx="4556148" cy="3160451"/>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4555976" cy="3160332"/>
                    </a:xfrm>
                    <a:prstGeom prst="rect">
                      <a:avLst/>
                    </a:prstGeom>
                    <a:noFill/>
                    <a:ln w="9525">
                      <a:noFill/>
                      <a:miter lim="800000"/>
                      <a:headEnd/>
                      <a:tailEnd/>
                    </a:ln>
                  </pic:spPr>
                </pic:pic>
              </a:graphicData>
            </a:graphic>
          </wp:inline>
        </w:drawing>
      </w:r>
    </w:p>
    <w:p w:rsidR="00594FF9" w:rsidRDefault="00594FF9" w:rsidP="00594FF9">
      <w:pPr>
        <w:pStyle w:val="ListParagraph"/>
        <w:ind w:left="1440"/>
      </w:pPr>
    </w:p>
    <w:p w:rsidR="00594FF9" w:rsidRDefault="00594FF9" w:rsidP="00594FF9">
      <w:pPr>
        <w:pStyle w:val="ListParagraph"/>
        <w:ind w:left="1440"/>
      </w:pPr>
    </w:p>
    <w:p w:rsidR="00594FF9" w:rsidRDefault="00594FF9" w:rsidP="00594FF9">
      <w:pPr>
        <w:pStyle w:val="ListParagraph"/>
        <w:ind w:left="1440"/>
      </w:pPr>
    </w:p>
    <w:p w:rsidR="0074733C" w:rsidRDefault="0074733C" w:rsidP="0083406E">
      <w:pPr>
        <w:pStyle w:val="ListParagraph"/>
        <w:numPr>
          <w:ilvl w:val="1"/>
          <w:numId w:val="1"/>
        </w:numPr>
      </w:pPr>
      <w:r>
        <w:t xml:space="preserve">Step 5 – </w:t>
      </w:r>
      <w:r w:rsidR="00594FF9">
        <w:t>Select none of these options</w:t>
      </w:r>
      <w:r w:rsidR="007061AA">
        <w:t>, and click on Finish</w:t>
      </w:r>
    </w:p>
    <w:p w:rsidR="00594FF9" w:rsidRDefault="00594FF9" w:rsidP="00594FF9">
      <w:pPr>
        <w:pStyle w:val="ListParagraph"/>
        <w:ind w:left="1440"/>
      </w:pPr>
      <w:r>
        <w:rPr>
          <w:noProof/>
        </w:rPr>
        <w:drawing>
          <wp:inline distT="0" distB="0" distL="0" distR="0">
            <wp:extent cx="4563337" cy="3187084"/>
            <wp:effectExtent l="19050" t="0" r="8663"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4565548" cy="3188628"/>
                    </a:xfrm>
                    <a:prstGeom prst="rect">
                      <a:avLst/>
                    </a:prstGeom>
                    <a:noFill/>
                    <a:ln w="9525">
                      <a:noFill/>
                      <a:miter lim="800000"/>
                      <a:headEnd/>
                      <a:tailEnd/>
                    </a:ln>
                  </pic:spPr>
                </pic:pic>
              </a:graphicData>
            </a:graphic>
          </wp:inline>
        </w:drawing>
      </w:r>
    </w:p>
    <w:p w:rsidR="0065310D" w:rsidRDefault="0065310D" w:rsidP="00594FF9">
      <w:pPr>
        <w:pStyle w:val="ListParagraph"/>
        <w:ind w:left="1440"/>
      </w:pPr>
    </w:p>
    <w:p w:rsidR="0065310D" w:rsidRDefault="0065310D" w:rsidP="00594FF9">
      <w:pPr>
        <w:pStyle w:val="ListParagraph"/>
        <w:ind w:left="1440"/>
      </w:pPr>
    </w:p>
    <w:p w:rsidR="0065310D" w:rsidRDefault="0065310D" w:rsidP="00594FF9">
      <w:pPr>
        <w:pStyle w:val="ListParagraph"/>
        <w:ind w:left="1440"/>
      </w:pPr>
    </w:p>
    <w:p w:rsidR="008D5184" w:rsidRDefault="0074733C" w:rsidP="0083406E">
      <w:pPr>
        <w:pStyle w:val="ListParagraph"/>
        <w:numPr>
          <w:ilvl w:val="1"/>
          <w:numId w:val="1"/>
        </w:numPr>
      </w:pPr>
      <w:commentRangeStart w:id="5"/>
      <w:r>
        <w:lastRenderedPageBreak/>
        <w:t xml:space="preserve">Step 6 – transducer offset – do not apply </w:t>
      </w:r>
      <w:r w:rsidR="008D5184">
        <w:t>pitch</w:t>
      </w:r>
      <w:r>
        <w:t xml:space="preserve"> her</w:t>
      </w:r>
      <w:r w:rsidR="008D5184">
        <w:t xml:space="preserve">e since we already apply in SIS? </w:t>
      </w:r>
    </w:p>
    <w:p w:rsidR="0074733C" w:rsidRDefault="008D5184" w:rsidP="008D5184">
      <w:pPr>
        <w:pStyle w:val="ListParagraph"/>
        <w:numPr>
          <w:ilvl w:val="2"/>
          <w:numId w:val="1"/>
        </w:numPr>
      </w:pPr>
      <w:r>
        <w:t>But tell TPE w have a pitch offset applied in SIS?</w:t>
      </w:r>
    </w:p>
    <w:commentRangeEnd w:id="5"/>
    <w:p w:rsidR="008D5184" w:rsidRDefault="007061AA" w:rsidP="007061AA">
      <w:pPr>
        <w:pStyle w:val="ListParagraph"/>
        <w:numPr>
          <w:ilvl w:val="1"/>
          <w:numId w:val="1"/>
        </w:numPr>
      </w:pPr>
      <w:r>
        <w:rPr>
          <w:noProof/>
          <w:sz w:val="16"/>
          <w:szCs w:val="16"/>
        </w:rPr>
        <w:pict>
          <v:roundrect id="_x0000_s1029" style="position:absolute;left:0;text-align:left;margin-left:415.9pt;margin-top:2.65pt;width:18.9pt;height:19.6pt;z-index:251664384" arcsize="10923f" filled="f" strokecolor="#365f91 [2404]" strokeweight="2.25pt"/>
        </w:pict>
      </w:r>
      <w:r>
        <w:rPr>
          <w:noProof/>
          <w:sz w:val="16"/>
          <w:szCs w:val="16"/>
        </w:rPr>
        <w:drawing>
          <wp:anchor distT="0" distB="0" distL="114300" distR="114300" simplePos="0" relativeHeight="251663360" behindDoc="0" locked="0" layoutInCell="1" allowOverlap="1">
            <wp:simplePos x="0" y="0"/>
            <wp:positionH relativeFrom="column">
              <wp:posOffset>3747671</wp:posOffset>
            </wp:positionH>
            <wp:positionV relativeFrom="paragraph">
              <wp:posOffset>15943</wp:posOffset>
            </wp:positionV>
            <wp:extent cx="2218123" cy="274663"/>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2216608" cy="274475"/>
                    </a:xfrm>
                    <a:prstGeom prst="rect">
                      <a:avLst/>
                    </a:prstGeom>
                    <a:noFill/>
                    <a:ln w="9525">
                      <a:noFill/>
                      <a:miter lim="800000"/>
                      <a:headEnd/>
                      <a:tailEnd/>
                    </a:ln>
                  </pic:spPr>
                </pic:pic>
              </a:graphicData>
            </a:graphic>
          </wp:anchor>
        </w:drawing>
      </w:r>
      <w:r>
        <w:rPr>
          <w:rStyle w:val="CommentReference"/>
        </w:rPr>
        <w:commentReference w:id="5"/>
      </w:r>
      <w:r>
        <w:t xml:space="preserve">Go to the </w:t>
      </w:r>
      <w:r w:rsidR="008D5184">
        <w:t>Edit</w:t>
      </w:r>
      <w:r>
        <w:t xml:space="preserve"> menu and select </w:t>
      </w:r>
      <w:r w:rsidR="008D5184">
        <w:t xml:space="preserve"> – Vessel Shape</w:t>
      </w:r>
      <w:r>
        <w:t xml:space="preserve">  </w:t>
      </w:r>
      <w:r>
        <w:br/>
      </w:r>
    </w:p>
    <w:p w:rsidR="008D5184" w:rsidRDefault="007061AA" w:rsidP="008D5184">
      <w:pPr>
        <w:pStyle w:val="ListParagraph"/>
        <w:numPr>
          <w:ilvl w:val="2"/>
          <w:numId w:val="1"/>
        </w:numPr>
      </w:pPr>
      <w:r>
        <w:t>Use the Hydro Readiness Report to determine the dimensions of the vessel and the location of the center of gravity (or equivalent report).</w:t>
      </w:r>
    </w:p>
    <w:p w:rsidR="007061AA" w:rsidRDefault="007061AA" w:rsidP="007061AA">
      <w:pPr>
        <w:pStyle w:val="ListParagraph"/>
        <w:ind w:left="2160"/>
      </w:pPr>
      <w:r>
        <w:rPr>
          <w:noProof/>
          <w:sz w:val="16"/>
          <w:szCs w:val="16"/>
        </w:rPr>
        <w:pict>
          <v:roundrect id="_x0000_s1030" style="position:absolute;left:0;text-align:left;margin-left:400.65pt;margin-top:14.3pt;width:18.9pt;height:19.6pt;z-index:251667456" arcsize="10923f" filled="f" strokecolor="#365f91 [2404]" strokeweight="2.25pt"/>
        </w:pict>
      </w:r>
      <w:r>
        <w:rPr>
          <w:noProof/>
        </w:rPr>
        <w:drawing>
          <wp:anchor distT="0" distB="0" distL="114300" distR="114300" simplePos="0" relativeHeight="251666432" behindDoc="0" locked="0" layoutInCell="1" allowOverlap="1">
            <wp:simplePos x="0" y="0"/>
            <wp:positionH relativeFrom="column">
              <wp:posOffset>3747135</wp:posOffset>
            </wp:positionH>
            <wp:positionV relativeFrom="paragraph">
              <wp:posOffset>163830</wp:posOffset>
            </wp:positionV>
            <wp:extent cx="2218055" cy="274955"/>
            <wp:effectExtent l="19050" t="0" r="0" b="0"/>
            <wp:wrapNone/>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2218055" cy="274955"/>
                    </a:xfrm>
                    <a:prstGeom prst="rect">
                      <a:avLst/>
                    </a:prstGeom>
                    <a:noFill/>
                    <a:ln w="9525">
                      <a:noFill/>
                      <a:miter lim="800000"/>
                      <a:headEnd/>
                      <a:tailEnd/>
                    </a:ln>
                  </pic:spPr>
                </pic:pic>
              </a:graphicData>
            </a:graphic>
          </wp:anchor>
        </w:drawing>
      </w:r>
    </w:p>
    <w:p w:rsidR="008D5184" w:rsidRDefault="007061AA" w:rsidP="008D5184">
      <w:pPr>
        <w:pStyle w:val="ListParagraph"/>
        <w:numPr>
          <w:ilvl w:val="1"/>
          <w:numId w:val="1"/>
        </w:numPr>
      </w:pPr>
      <w:r>
        <w:t xml:space="preserve">Go to the Edit menu and select   </w:t>
      </w:r>
      <w:r w:rsidR="008D5184">
        <w:t>–Active Sensors</w:t>
      </w:r>
    </w:p>
    <w:p w:rsidR="008D5184" w:rsidRDefault="008D5184" w:rsidP="008D5184">
      <w:pPr>
        <w:pStyle w:val="ListParagraph"/>
        <w:numPr>
          <w:ilvl w:val="2"/>
          <w:numId w:val="1"/>
        </w:numPr>
      </w:pPr>
      <w:r>
        <w:t xml:space="preserve">Need to configure TPE settings </w:t>
      </w:r>
    </w:p>
    <w:p w:rsidR="008D5184" w:rsidRDefault="008D5184" w:rsidP="008D5184">
      <w:pPr>
        <w:pStyle w:val="ListParagraph"/>
        <w:numPr>
          <w:ilvl w:val="3"/>
          <w:numId w:val="1"/>
        </w:numPr>
      </w:pPr>
      <w:r>
        <w:t>Offsets</w:t>
      </w:r>
    </w:p>
    <w:p w:rsidR="008D5184" w:rsidRDefault="008D5184" w:rsidP="008D5184">
      <w:pPr>
        <w:pStyle w:val="ListParagraph"/>
        <w:numPr>
          <w:ilvl w:val="3"/>
          <w:numId w:val="1"/>
        </w:numPr>
      </w:pPr>
      <w:proofErr w:type="spellStart"/>
      <w:r>
        <w:t>Stnd</w:t>
      </w:r>
      <w:proofErr w:type="spellEnd"/>
      <w:r>
        <w:t xml:space="preserve"> dev</w:t>
      </w:r>
    </w:p>
    <w:p w:rsidR="00F76AE8" w:rsidRDefault="008D5184" w:rsidP="00F76AE8">
      <w:pPr>
        <w:pStyle w:val="ListParagraph"/>
        <w:numPr>
          <w:ilvl w:val="4"/>
          <w:numId w:val="1"/>
        </w:numPr>
      </w:pPr>
      <w:r>
        <w:t xml:space="preserve">Use values from </w:t>
      </w:r>
      <w:r w:rsidR="0065310D">
        <w:t xml:space="preserve">NOAA Field Procedures (latest edition), Appendix 4, </w:t>
      </w:r>
      <w:proofErr w:type="gramStart"/>
      <w:r w:rsidR="0065310D">
        <w:t>Table</w:t>
      </w:r>
      <w:proofErr w:type="gramEnd"/>
      <w:r w:rsidR="0065310D">
        <w:t xml:space="preserve"> 4-9</w:t>
      </w:r>
      <w:r>
        <w:t xml:space="preserve"> with POSMV</w:t>
      </w:r>
      <w:r w:rsidR="003426B7">
        <w:t xml:space="preserve"> uncertainty values</w:t>
      </w:r>
      <w:r w:rsidR="0065310D">
        <w:t>.</w:t>
      </w:r>
    </w:p>
    <w:p w:rsidR="00A42523" w:rsidRDefault="00A42523" w:rsidP="00A42523">
      <w:pPr>
        <w:pStyle w:val="Heading1"/>
      </w:pPr>
      <w:bookmarkStart w:id="6" w:name="_Toc289174307"/>
      <w:r>
        <w:t xml:space="preserve">Processing </w:t>
      </w:r>
      <w:r w:rsidR="00DB28C3">
        <w:t xml:space="preserve">Lines </w:t>
      </w:r>
      <w:r>
        <w:t>for CUBE</w:t>
      </w:r>
      <w:bookmarkEnd w:id="6"/>
    </w:p>
    <w:p w:rsidR="008A7B09" w:rsidRDefault="008A7B09" w:rsidP="00F76AE8">
      <w:pPr>
        <w:pStyle w:val="ListParagraph"/>
        <w:numPr>
          <w:ilvl w:val="0"/>
          <w:numId w:val="1"/>
        </w:numPr>
      </w:pPr>
      <w:r>
        <w:t>Perform regular steps to convert, QC, tides, merge</w:t>
      </w:r>
      <w:r w:rsidR="00EE7614">
        <w:t xml:space="preserve">; </w:t>
      </w:r>
      <w:r w:rsidR="00F76AE8">
        <w:t>No</w:t>
      </w:r>
      <w:r w:rsidR="00EE7614">
        <w:t xml:space="preserve"> need to Swath Edit</w:t>
      </w:r>
    </w:p>
    <w:p w:rsidR="00EE7614" w:rsidRDefault="00EE7614" w:rsidP="00EE7614">
      <w:pPr>
        <w:pStyle w:val="ListParagraph"/>
      </w:pPr>
    </w:p>
    <w:p w:rsidR="00F76AE8" w:rsidRDefault="00F76AE8" w:rsidP="00F76AE8">
      <w:pPr>
        <w:pStyle w:val="ListParagraph"/>
        <w:numPr>
          <w:ilvl w:val="0"/>
          <w:numId w:val="1"/>
        </w:numPr>
      </w:pPr>
      <w:r>
        <w:t xml:space="preserve">New step before </w:t>
      </w:r>
      <w:r w:rsidR="00EE7614">
        <w:t>creating a surface: Compute TPE</w:t>
      </w:r>
    </w:p>
    <w:p w:rsidR="00EE7614" w:rsidRDefault="00EE7614" w:rsidP="00EE7614">
      <w:pPr>
        <w:pStyle w:val="ListParagraph"/>
      </w:pPr>
      <w:r>
        <w:rPr>
          <w:noProof/>
        </w:rPr>
        <w:drawing>
          <wp:inline distT="0" distB="0" distL="0" distR="0">
            <wp:extent cx="4048125" cy="276098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4048125" cy="2760980"/>
                    </a:xfrm>
                    <a:prstGeom prst="rect">
                      <a:avLst/>
                    </a:prstGeom>
                    <a:noFill/>
                    <a:ln w="9525">
                      <a:noFill/>
                      <a:miter lim="800000"/>
                      <a:headEnd/>
                      <a:tailEnd/>
                    </a:ln>
                  </pic:spPr>
                </pic:pic>
              </a:graphicData>
            </a:graphic>
          </wp:inline>
        </w:drawing>
      </w:r>
    </w:p>
    <w:p w:rsidR="00EE7614" w:rsidRDefault="00EE7614" w:rsidP="00EE7614">
      <w:pPr>
        <w:pStyle w:val="ListParagraph"/>
      </w:pPr>
      <w:r>
        <w:t>*the Tides Value: Measured should change with each project area. For an explanation on how each of these va</w:t>
      </w:r>
      <w:r w:rsidR="00AE4129">
        <w:t xml:space="preserve">lues </w:t>
      </w:r>
      <w:proofErr w:type="gramStart"/>
      <w:r w:rsidR="00AE4129">
        <w:t>are</w:t>
      </w:r>
      <w:proofErr w:type="gramEnd"/>
      <w:r w:rsidR="00AE4129">
        <w:t xml:space="preserve"> derived, See </w:t>
      </w:r>
      <w:hyperlink w:anchor="_Appendix_2_–" w:history="1">
        <w:r w:rsidR="00AE4129" w:rsidRPr="00AE4129">
          <w:rPr>
            <w:rStyle w:val="Hyperlink"/>
            <w:u w:val="none"/>
          </w:rPr>
          <w:t>Appendix (2)</w:t>
        </w:r>
      </w:hyperlink>
      <w:r>
        <w:t>.</w:t>
      </w:r>
    </w:p>
    <w:p w:rsidR="00EE7614" w:rsidRDefault="00EE7614" w:rsidP="00EE7614">
      <w:pPr>
        <w:pStyle w:val="ListParagraph"/>
      </w:pPr>
    </w:p>
    <w:p w:rsidR="00EE7614" w:rsidRDefault="00EE7614" w:rsidP="00EE7614">
      <w:pPr>
        <w:pStyle w:val="ListParagraph"/>
      </w:pPr>
    </w:p>
    <w:p w:rsidR="00EE7614" w:rsidRDefault="00EE7614" w:rsidP="00EE7614">
      <w:pPr>
        <w:pStyle w:val="ListParagraph"/>
      </w:pPr>
    </w:p>
    <w:p w:rsidR="00EE7614" w:rsidRDefault="00EE7614" w:rsidP="00EE7614">
      <w:pPr>
        <w:pStyle w:val="ListParagraph"/>
      </w:pPr>
    </w:p>
    <w:p w:rsidR="00EE7614" w:rsidRDefault="00EE7614" w:rsidP="00EE7614">
      <w:pPr>
        <w:pStyle w:val="ListParagraph"/>
      </w:pPr>
    </w:p>
    <w:p w:rsidR="00EE7614" w:rsidRDefault="00EE7614" w:rsidP="00EE7614">
      <w:pPr>
        <w:pStyle w:val="ListParagraph"/>
      </w:pPr>
    </w:p>
    <w:p w:rsidR="008A7B09" w:rsidRDefault="008A7B09" w:rsidP="00A42523">
      <w:pPr>
        <w:pStyle w:val="Heading1"/>
      </w:pPr>
      <w:bookmarkStart w:id="7" w:name="_Toc289174308"/>
      <w:r>
        <w:lastRenderedPageBreak/>
        <w:t>Build CUBE surface</w:t>
      </w:r>
      <w:bookmarkEnd w:id="7"/>
    </w:p>
    <w:p w:rsidR="00EE7614" w:rsidRDefault="00EE7614" w:rsidP="00A42523">
      <w:pPr>
        <w:pStyle w:val="ListParagraph"/>
        <w:numPr>
          <w:ilvl w:val="0"/>
          <w:numId w:val="1"/>
        </w:numPr>
      </w:pPr>
      <w:r>
        <w:t>Create a field sheet as per usual, no changes needed for CUBE.</w:t>
      </w:r>
    </w:p>
    <w:p w:rsidR="00EE7614" w:rsidRDefault="00EE7614" w:rsidP="00A42523">
      <w:pPr>
        <w:pStyle w:val="ListParagraph"/>
        <w:numPr>
          <w:ilvl w:val="0"/>
          <w:numId w:val="1"/>
        </w:numPr>
      </w:pPr>
      <w:r>
        <w:t xml:space="preserve">Right-click on the </w:t>
      </w:r>
      <w:proofErr w:type="spellStart"/>
      <w:r>
        <w:t>fieldsheet</w:t>
      </w:r>
      <w:proofErr w:type="spellEnd"/>
      <w:r>
        <w:t xml:space="preserve">, and select New BASE Surface </w:t>
      </w:r>
    </w:p>
    <w:p w:rsidR="00EE7614" w:rsidRDefault="00EE7614" w:rsidP="00A42523">
      <w:pPr>
        <w:pStyle w:val="ListParagraph"/>
        <w:numPr>
          <w:ilvl w:val="0"/>
          <w:numId w:val="1"/>
        </w:numPr>
      </w:pPr>
      <w:r>
        <w:t>Step 1: Name your surface according to standard EX convention. Click Next.</w:t>
      </w:r>
      <w:r>
        <w:br/>
      </w:r>
      <w:r>
        <w:rPr>
          <w:noProof/>
        </w:rPr>
        <w:drawing>
          <wp:inline distT="0" distB="0" distL="0" distR="0">
            <wp:extent cx="3949268" cy="3236781"/>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3951190" cy="3238356"/>
                    </a:xfrm>
                    <a:prstGeom prst="rect">
                      <a:avLst/>
                    </a:prstGeom>
                    <a:noFill/>
                    <a:ln w="9525">
                      <a:noFill/>
                      <a:miter lim="800000"/>
                      <a:headEnd/>
                      <a:tailEnd/>
                    </a:ln>
                  </pic:spPr>
                </pic:pic>
              </a:graphicData>
            </a:graphic>
          </wp:inline>
        </w:drawing>
      </w:r>
      <w:r>
        <w:br/>
      </w:r>
      <w:r>
        <w:br/>
      </w:r>
    </w:p>
    <w:p w:rsidR="00EE7614" w:rsidRDefault="00EE7614" w:rsidP="00A42523">
      <w:pPr>
        <w:pStyle w:val="ListParagraph"/>
        <w:numPr>
          <w:ilvl w:val="0"/>
          <w:numId w:val="1"/>
        </w:numPr>
      </w:pPr>
      <w:r>
        <w:t>Step 2: Define your resolution, as usual.  For Surface Type, select CUBE.</w:t>
      </w:r>
    </w:p>
    <w:p w:rsidR="00EE7614" w:rsidRDefault="00EE7614" w:rsidP="00A42523">
      <w:pPr>
        <w:pStyle w:val="ListParagraph"/>
      </w:pPr>
      <w:r>
        <w:rPr>
          <w:noProof/>
        </w:rPr>
        <w:drawing>
          <wp:inline distT="0" distB="0" distL="0" distR="0">
            <wp:extent cx="3993446" cy="3266982"/>
            <wp:effectExtent l="19050" t="0" r="7054"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3994789" cy="3268081"/>
                    </a:xfrm>
                    <a:prstGeom prst="rect">
                      <a:avLst/>
                    </a:prstGeom>
                    <a:noFill/>
                    <a:ln w="9525">
                      <a:noFill/>
                      <a:miter lim="800000"/>
                      <a:headEnd/>
                      <a:tailEnd/>
                    </a:ln>
                  </pic:spPr>
                </pic:pic>
              </a:graphicData>
            </a:graphic>
          </wp:inline>
        </w:drawing>
      </w:r>
    </w:p>
    <w:p w:rsidR="00EE7614" w:rsidRDefault="00EE7614" w:rsidP="00EE7614">
      <w:pPr>
        <w:pStyle w:val="ListParagraph"/>
        <w:ind w:left="1440"/>
      </w:pPr>
    </w:p>
    <w:p w:rsidR="00EE7614" w:rsidRDefault="00EE7614" w:rsidP="00A42523">
      <w:pPr>
        <w:pStyle w:val="ListParagraph"/>
        <w:numPr>
          <w:ilvl w:val="0"/>
          <w:numId w:val="1"/>
        </w:numPr>
      </w:pPr>
      <w:r>
        <w:lastRenderedPageBreak/>
        <w:t>Step 3: Select Order 3 from the Drop-down menu.  IHO Order 3 is appropriate for all data collected where water depth exceeds 200m.</w:t>
      </w:r>
      <w:r w:rsidR="008E17EF">
        <w:br/>
      </w:r>
      <w:r w:rsidR="008E17EF">
        <w:rPr>
          <w:noProof/>
        </w:rPr>
        <w:drawing>
          <wp:inline distT="0" distB="0" distL="0" distR="0">
            <wp:extent cx="4181475" cy="342709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4181475" cy="3427095"/>
                    </a:xfrm>
                    <a:prstGeom prst="rect">
                      <a:avLst/>
                    </a:prstGeom>
                    <a:noFill/>
                    <a:ln w="9525">
                      <a:noFill/>
                      <a:miter lim="800000"/>
                      <a:headEnd/>
                      <a:tailEnd/>
                    </a:ln>
                  </pic:spPr>
                </pic:pic>
              </a:graphicData>
            </a:graphic>
          </wp:inline>
        </w:drawing>
      </w:r>
    </w:p>
    <w:p w:rsidR="008E17EF" w:rsidRDefault="008E17EF" w:rsidP="00A42523">
      <w:pPr>
        <w:pStyle w:val="ListParagraph"/>
        <w:numPr>
          <w:ilvl w:val="0"/>
          <w:numId w:val="1"/>
        </w:numPr>
      </w:pPr>
      <w:r>
        <w:rPr>
          <w:noProof/>
        </w:rPr>
        <w:pict>
          <v:roundrect id="_x0000_s1032" style="position:absolute;left:0;text-align:left;margin-left:206.35pt;margin-top:97.8pt;width:64.1pt;height:23.8pt;z-index:251669504" arcsize="10923f" filled="f" strokecolor="#e36c0a [2409]" strokeweight="2.25pt"/>
        </w:pict>
      </w:r>
      <w:r>
        <w:t xml:space="preserve">Step 4: Define CUBE parameters for your surface.  </w:t>
      </w:r>
      <w:r w:rsidR="005E73E7">
        <w:t xml:space="preserve">Select the Disambiguation Method of “Density &amp; Locale.” Then, </w:t>
      </w:r>
      <w:r>
        <w:t>click on the “Advanced” button.</w:t>
      </w:r>
      <w:r>
        <w:br/>
      </w:r>
      <w:r>
        <w:rPr>
          <w:noProof/>
        </w:rPr>
        <w:drawing>
          <wp:inline distT="0" distB="0" distL="0" distR="0">
            <wp:extent cx="4181475" cy="342709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4181475" cy="3427095"/>
                    </a:xfrm>
                    <a:prstGeom prst="rect">
                      <a:avLst/>
                    </a:prstGeom>
                    <a:noFill/>
                    <a:ln w="9525">
                      <a:noFill/>
                      <a:miter lim="800000"/>
                      <a:headEnd/>
                      <a:tailEnd/>
                    </a:ln>
                  </pic:spPr>
                </pic:pic>
              </a:graphicData>
            </a:graphic>
          </wp:inline>
        </w:drawing>
      </w:r>
    </w:p>
    <w:p w:rsidR="008E17EF" w:rsidRDefault="008E17EF" w:rsidP="008E17EF"/>
    <w:p w:rsidR="005E73E7" w:rsidRDefault="008E17EF" w:rsidP="00A42523">
      <w:pPr>
        <w:pStyle w:val="ListParagraph"/>
      </w:pPr>
      <w:r>
        <w:rPr>
          <w:noProof/>
        </w:rPr>
        <w:lastRenderedPageBreak/>
        <w:drawing>
          <wp:inline distT="0" distB="0" distL="0" distR="0">
            <wp:extent cx="3000375" cy="4918075"/>
            <wp:effectExtent l="19050" t="0" r="9525" b="0"/>
            <wp:docPr id="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3000375" cy="4918075"/>
                    </a:xfrm>
                    <a:prstGeom prst="rect">
                      <a:avLst/>
                    </a:prstGeom>
                    <a:noFill/>
                    <a:ln w="9525">
                      <a:noFill/>
                      <a:miter lim="800000"/>
                      <a:headEnd/>
                      <a:tailEnd/>
                    </a:ln>
                  </pic:spPr>
                </pic:pic>
              </a:graphicData>
            </a:graphic>
          </wp:inline>
        </w:drawing>
      </w:r>
      <w:r w:rsidR="005E73E7" w:rsidRPr="005E73E7">
        <w:t xml:space="preserve"> </w:t>
      </w:r>
      <w:r w:rsidR="005E73E7">
        <w:br/>
      </w:r>
    </w:p>
    <w:p w:rsidR="005E73E7" w:rsidRDefault="005E73E7" w:rsidP="00A42523">
      <w:pPr>
        <w:pStyle w:val="ListParagraph"/>
        <w:numPr>
          <w:ilvl w:val="0"/>
          <w:numId w:val="1"/>
        </w:numPr>
      </w:pPr>
      <w:r>
        <w:t>Select the Template File: If the Environmental Variable for CUBE Parameters was set correctly, this file should already be correctly selected</w:t>
      </w:r>
      <w:r>
        <w:br/>
      </w:r>
    </w:p>
    <w:p w:rsidR="008E17EF" w:rsidRDefault="005E73E7" w:rsidP="00A42523">
      <w:pPr>
        <w:pStyle w:val="ListParagraph"/>
        <w:numPr>
          <w:ilvl w:val="0"/>
          <w:numId w:val="1"/>
        </w:numPr>
      </w:pPr>
      <w:r>
        <w:t xml:space="preserve">Select Configuration: There are a few pre-set depth resolutions available for use.  If the resolution you need is not available in the Configuration pull-down, you can create a new one for yourself.  All resolutions share the same parameters, as shown below, with a single exception.  The Capture Distance Minimum is resolution-dependent and can be calculated by dividing the intended resolution by the root of two (i.e. </w:t>
      </w:r>
      <w:proofErr w:type="spellStart"/>
      <w:proofErr w:type="gramStart"/>
      <w:r>
        <w:t>Xm</w:t>
      </w:r>
      <w:proofErr w:type="spellEnd"/>
      <w:r>
        <w:t xml:space="preserve">  /</w:t>
      </w:r>
      <w:proofErr w:type="gramEnd"/>
      <w:r>
        <w:t xml:space="preserve"> √2).  All other values should be identical to those shown below.</w:t>
      </w:r>
      <w:r>
        <w:br/>
      </w:r>
    </w:p>
    <w:p w:rsidR="008E17EF" w:rsidRDefault="005E73E7" w:rsidP="00A42523">
      <w:pPr>
        <w:pStyle w:val="ListParagraph"/>
        <w:numPr>
          <w:ilvl w:val="0"/>
          <w:numId w:val="1"/>
        </w:numPr>
      </w:pPr>
      <w:r>
        <w:t>Once you have the correct resolution selected, click OK, to return to the BASE Surface Wizard, Step 4 of 4.  Then click Finish, your CUBE-variety BASE Surface will render.</w:t>
      </w:r>
    </w:p>
    <w:p w:rsidR="00DB28C3" w:rsidRDefault="00DB28C3" w:rsidP="00DB28C3"/>
    <w:p w:rsidR="00DB28C3" w:rsidRDefault="00DB28C3" w:rsidP="00DB28C3"/>
    <w:p w:rsidR="001A5939" w:rsidRDefault="00DB28C3" w:rsidP="00834E2A">
      <w:pPr>
        <w:pStyle w:val="Heading2"/>
      </w:pPr>
      <w:bookmarkStart w:id="8" w:name="_Toc289174309"/>
      <w:r>
        <w:lastRenderedPageBreak/>
        <w:t>Appendix 1 – Sources of Uncertainty</w:t>
      </w:r>
      <w:bookmarkEnd w:id="8"/>
    </w:p>
    <w:p w:rsidR="001A5939" w:rsidRPr="001A5939" w:rsidRDefault="001A5939" w:rsidP="001A5939">
      <w:pPr>
        <w:rPr>
          <w:rFonts w:eastAsiaTheme="majorEastAsia"/>
          <w:color w:val="365F91" w:themeColor="accent1" w:themeShade="BF"/>
        </w:rPr>
      </w:pPr>
      <w:r w:rsidRPr="00A10B4B">
        <w:rPr>
          <w:rStyle w:val="SubtitleChar"/>
        </w:rPr>
        <w:t>In Order of Relative Magnitude</w:t>
      </w:r>
    </w:p>
    <w:p w:rsidR="00DB28C3" w:rsidRPr="00834E2A" w:rsidRDefault="00DB28C3" w:rsidP="00834E2A">
      <w:pPr>
        <w:pStyle w:val="NoSpacing"/>
        <w:rPr>
          <w:b/>
          <w:i/>
          <w:sz w:val="24"/>
        </w:rPr>
      </w:pPr>
      <w:r w:rsidRPr="00834E2A">
        <w:rPr>
          <w:b/>
          <w:i/>
          <w:sz w:val="24"/>
        </w:rPr>
        <w:t>Sound Velocity</w:t>
      </w:r>
    </w:p>
    <w:p w:rsidR="00DB28C3" w:rsidRPr="00A10B4B" w:rsidRDefault="00DB28C3" w:rsidP="00DB28C3">
      <w:pPr>
        <w:pStyle w:val="ListParagraph"/>
        <w:numPr>
          <w:ilvl w:val="0"/>
          <w:numId w:val="4"/>
        </w:numPr>
        <w:spacing w:after="160" w:line="288" w:lineRule="auto"/>
      </w:pPr>
      <w:r>
        <w:t xml:space="preserve">Okeanos Explorer (EX) relies heavily on Expendable bathythermographs for Sound Velocity Profiling (SVP), salinity and density of the water column is not directly measured.  In addition to this, SVP profiles change as a function of both distance and time, even when well known.  How much they vary from time and place depends on local weather conditions (i.e. currents, winds, storms, freshwater inputs such as rain or rivers, upwelling events).  </w:t>
      </w:r>
    </w:p>
    <w:p w:rsidR="00DB28C3" w:rsidRPr="00834E2A" w:rsidRDefault="00DB28C3" w:rsidP="00834E2A">
      <w:pPr>
        <w:pStyle w:val="NoSpacing"/>
        <w:rPr>
          <w:b/>
          <w:i/>
        </w:rPr>
      </w:pPr>
      <w:r w:rsidRPr="00834E2A">
        <w:rPr>
          <w:b/>
          <w:i/>
          <w:sz w:val="24"/>
        </w:rPr>
        <w:t>Tide</w:t>
      </w:r>
    </w:p>
    <w:p w:rsidR="00DB28C3" w:rsidRPr="00A10B4B" w:rsidRDefault="00DB28C3" w:rsidP="00DB28C3">
      <w:pPr>
        <w:pStyle w:val="ListParagraph"/>
        <w:numPr>
          <w:ilvl w:val="0"/>
          <w:numId w:val="4"/>
        </w:numPr>
        <w:spacing w:after="160" w:line="288" w:lineRule="auto"/>
      </w:pPr>
      <w:r>
        <w:t>Tidal Uncertainty develops as a result of estimated shifts between predicted phase and amplitude, and those observed, in coastal regions due to topography.  Depending on the latitude of survey, this could be significant or negligible, in the depths that are typically surveyed by the EX.</w:t>
      </w:r>
    </w:p>
    <w:p w:rsidR="00DB28C3" w:rsidRPr="00834E2A" w:rsidRDefault="00DB28C3" w:rsidP="00834E2A">
      <w:pPr>
        <w:pStyle w:val="NoSpacing"/>
        <w:rPr>
          <w:b/>
          <w:i/>
          <w:sz w:val="24"/>
        </w:rPr>
      </w:pPr>
      <w:r w:rsidRPr="00834E2A">
        <w:rPr>
          <w:b/>
          <w:i/>
          <w:sz w:val="24"/>
        </w:rPr>
        <w:t>Positional I</w:t>
      </w:r>
    </w:p>
    <w:p w:rsidR="00DB28C3" w:rsidRDefault="00DB28C3" w:rsidP="00DB28C3">
      <w:pPr>
        <w:pStyle w:val="ListParagraph"/>
        <w:numPr>
          <w:ilvl w:val="0"/>
          <w:numId w:val="2"/>
        </w:numPr>
        <w:spacing w:after="160" w:line="288" w:lineRule="auto"/>
        <w:ind w:left="1080"/>
      </w:pPr>
      <w:r w:rsidRPr="00330185">
        <w:rPr>
          <w:b/>
        </w:rPr>
        <w:t>GPS Positioning</w:t>
      </w:r>
      <w:r>
        <w:t xml:space="preserve">. Course acquisition has accuracies of up t 1m or so, usually on the order of 5m.  Using DPGS can reduce positional uncertainty to about .5m.  Using post-processed kinematics can reduce positional uncertainty to </w:t>
      </w:r>
      <w:proofErr w:type="spellStart"/>
      <w:r>
        <w:t>deci</w:t>
      </w:r>
      <w:proofErr w:type="spellEnd"/>
      <w:r>
        <w:t>-metric levels.</w:t>
      </w:r>
    </w:p>
    <w:p w:rsidR="00DB28C3" w:rsidRDefault="00DB28C3" w:rsidP="00DB28C3">
      <w:pPr>
        <w:pStyle w:val="ListParagraph"/>
        <w:numPr>
          <w:ilvl w:val="0"/>
          <w:numId w:val="2"/>
        </w:numPr>
        <w:spacing w:after="160" w:line="288" w:lineRule="auto"/>
        <w:ind w:left="1080"/>
      </w:pPr>
      <w:r>
        <w:t>From GPS antennae to POS/MV.  From POS/MV to EM302. From EM302 to hydro software.</w:t>
      </w:r>
    </w:p>
    <w:p w:rsidR="00DB28C3" w:rsidRPr="00834E2A" w:rsidRDefault="00DB28C3" w:rsidP="00834E2A">
      <w:pPr>
        <w:pStyle w:val="NoSpacing"/>
        <w:rPr>
          <w:b/>
          <w:i/>
          <w:sz w:val="24"/>
        </w:rPr>
      </w:pPr>
      <w:r w:rsidRPr="00834E2A">
        <w:rPr>
          <w:b/>
          <w:i/>
          <w:sz w:val="24"/>
        </w:rPr>
        <w:t>Positional II</w:t>
      </w:r>
    </w:p>
    <w:p w:rsidR="00DB28C3" w:rsidRDefault="00DB28C3" w:rsidP="00DB28C3">
      <w:pPr>
        <w:pStyle w:val="ListParagraph"/>
        <w:numPr>
          <w:ilvl w:val="0"/>
          <w:numId w:val="3"/>
        </w:numPr>
        <w:spacing w:after="160" w:line="288" w:lineRule="auto"/>
        <w:ind w:left="1080"/>
      </w:pPr>
      <w:r w:rsidRPr="00330185">
        <w:rPr>
          <w:b/>
        </w:rPr>
        <w:t>Offsets</w:t>
      </w:r>
      <w:r>
        <w:t>.  Also called lever arms, these establish a network of distances between the sonar face, the reference point, the IMU, and the antennae.  A ship’s survey will have been done, and documentation regarding the offsets (and positional accuracy of the survey) will be included in the report.  Also can be found in the HSRR.</w:t>
      </w:r>
    </w:p>
    <w:p w:rsidR="00DB28C3" w:rsidRDefault="00DB28C3" w:rsidP="00DB28C3">
      <w:pPr>
        <w:pStyle w:val="ListParagraph"/>
        <w:numPr>
          <w:ilvl w:val="0"/>
          <w:numId w:val="3"/>
        </w:numPr>
        <w:spacing w:after="160" w:line="288" w:lineRule="auto"/>
        <w:ind w:left="1080"/>
      </w:pPr>
      <w:r>
        <w:t>Stored in CARIS HIPS Vessel File (HVF) file used for calculating Total Propagated Uncertainty TPU during Compute TPE stage.</w:t>
      </w:r>
    </w:p>
    <w:p w:rsidR="00DB28C3" w:rsidRPr="00834E2A" w:rsidRDefault="00DB28C3" w:rsidP="00834E2A">
      <w:pPr>
        <w:pStyle w:val="NoSpacing"/>
        <w:rPr>
          <w:b/>
          <w:i/>
        </w:rPr>
      </w:pPr>
      <w:r w:rsidRPr="00834E2A">
        <w:rPr>
          <w:b/>
          <w:i/>
          <w:sz w:val="24"/>
        </w:rPr>
        <w:t>Attitude</w:t>
      </w:r>
    </w:p>
    <w:p w:rsidR="00DB28C3" w:rsidRDefault="00DB28C3" w:rsidP="00DB28C3">
      <w:pPr>
        <w:pStyle w:val="ListParagraph"/>
        <w:numPr>
          <w:ilvl w:val="0"/>
          <w:numId w:val="3"/>
        </w:numPr>
        <w:spacing w:after="160" w:line="288" w:lineRule="auto"/>
        <w:ind w:left="1080"/>
      </w:pPr>
      <w:r w:rsidRPr="00330185">
        <w:rPr>
          <w:b/>
        </w:rPr>
        <w:t>IMU</w:t>
      </w:r>
      <w:r>
        <w:t xml:space="preserve">. Uncertainties (accuracy) will be given by the manufacturer.  These uncertainties will be put into the HVF and used for calculating Total Propagated Uncertainty TPU during Compute TPE stage. </w:t>
      </w:r>
    </w:p>
    <w:p w:rsidR="00DB28C3" w:rsidRPr="00834E2A" w:rsidRDefault="00DB28C3" w:rsidP="00834E2A">
      <w:pPr>
        <w:pStyle w:val="NoSpacing"/>
        <w:rPr>
          <w:b/>
          <w:i/>
          <w:sz w:val="24"/>
        </w:rPr>
      </w:pPr>
      <w:r w:rsidRPr="00834E2A">
        <w:rPr>
          <w:b/>
          <w:i/>
          <w:sz w:val="24"/>
        </w:rPr>
        <w:t>Sonar</w:t>
      </w:r>
    </w:p>
    <w:p w:rsidR="00DB28C3" w:rsidRDefault="00DB28C3" w:rsidP="00DB28C3">
      <w:pPr>
        <w:pStyle w:val="ListParagraph"/>
        <w:numPr>
          <w:ilvl w:val="0"/>
          <w:numId w:val="3"/>
        </w:numPr>
        <w:spacing w:after="160" w:line="288" w:lineRule="auto"/>
        <w:ind w:left="1080"/>
      </w:pPr>
      <w:r>
        <w:rPr>
          <w:b/>
        </w:rPr>
        <w:t>EM302</w:t>
      </w:r>
      <w:r>
        <w:t>. Uncertainties (accuracy) will be given by the manufacturer.  These uncertainties are placed into the HVF (??) and used for calculating Total Propagated Uncertainty TPU during Compute TPE stage</w:t>
      </w:r>
    </w:p>
    <w:p w:rsidR="00DB28C3" w:rsidRDefault="00DB28C3" w:rsidP="00DB28C3"/>
    <w:p w:rsidR="00DB28C3" w:rsidRPr="00D329DD" w:rsidRDefault="00DB28C3" w:rsidP="00834E2A">
      <w:pPr>
        <w:pStyle w:val="Heading2"/>
      </w:pPr>
      <w:bookmarkStart w:id="9" w:name="_Appendix_2_–"/>
      <w:bookmarkStart w:id="10" w:name="_Toc289174310"/>
      <w:bookmarkEnd w:id="9"/>
      <w:r w:rsidRPr="00D329DD">
        <w:lastRenderedPageBreak/>
        <w:t xml:space="preserve">Appendix 2 – </w:t>
      </w:r>
      <w:r w:rsidR="00AE4129">
        <w:t>Compute TPU</w:t>
      </w:r>
      <w:r w:rsidRPr="00D329DD">
        <w:t xml:space="preserve"> Discussion</w:t>
      </w:r>
      <w:bookmarkEnd w:id="10"/>
      <w:r w:rsidR="0029211B">
        <w:br/>
      </w:r>
    </w:p>
    <w:p w:rsidR="00D329DD" w:rsidRDefault="00D329DD" w:rsidP="00D355E1">
      <w:pPr>
        <w:autoSpaceDE w:val="0"/>
        <w:autoSpaceDN w:val="0"/>
        <w:adjustRightInd w:val="0"/>
        <w:spacing w:after="0" w:line="240" w:lineRule="auto"/>
        <w:rPr>
          <w:rFonts w:cs="BeraSans-Roman"/>
          <w:sz w:val="20"/>
          <w:szCs w:val="20"/>
        </w:rPr>
      </w:pPr>
      <w:r>
        <w:rPr>
          <w:rFonts w:cs="BeraSans-Roman"/>
          <w:sz w:val="20"/>
          <w:szCs w:val="20"/>
        </w:rPr>
        <w:t>*** The Okeanos Explorer will not typically receive tide files or tide zones from COOPS, as a result, the tidal zone error for TPU will be input as zero.  The Measured Tide Value will be input as, in meters, the tidal variation for the project area multiplied by 1.66 (one standard deviation). What follows is directly from the section 4.2.3.6 - Compute TPU - of NOAA’s Field Procedure Manual, April 2010:</w:t>
      </w:r>
    </w:p>
    <w:p w:rsidR="00D329DD" w:rsidRDefault="00D329DD" w:rsidP="00D329DD">
      <w:pPr>
        <w:autoSpaceDE w:val="0"/>
        <w:autoSpaceDN w:val="0"/>
        <w:adjustRightInd w:val="0"/>
        <w:spacing w:after="0" w:line="240" w:lineRule="auto"/>
        <w:ind w:left="180"/>
        <w:rPr>
          <w:rFonts w:cs="BeraSans-Roman"/>
          <w:sz w:val="20"/>
          <w:szCs w:val="20"/>
        </w:rPr>
      </w:pPr>
    </w:p>
    <w:p w:rsidR="00D355E1" w:rsidRPr="00D329DD" w:rsidRDefault="00D355E1" w:rsidP="00D329DD">
      <w:pPr>
        <w:autoSpaceDE w:val="0"/>
        <w:autoSpaceDN w:val="0"/>
        <w:adjustRightInd w:val="0"/>
        <w:spacing w:after="0" w:line="240" w:lineRule="auto"/>
        <w:ind w:left="180"/>
        <w:rPr>
          <w:rFonts w:cs="BeraSans-Roman"/>
          <w:sz w:val="20"/>
          <w:szCs w:val="20"/>
        </w:rPr>
      </w:pPr>
      <w:r w:rsidRPr="00D329DD">
        <w:rPr>
          <w:rFonts w:cs="BeraSans-Roman"/>
          <w:sz w:val="20"/>
          <w:szCs w:val="20"/>
        </w:rPr>
        <w:t xml:space="preserve">Tide zoning uncertainty values at the 95% confidence level for discrete zoning are provided by COOPS in the tide requirements document on the project CD. All error value components entered in CARIS for TPE calculation are assumed to be 1 sigma; therefore, the value provided by CO-OPS should be divided by 1.96. </w:t>
      </w:r>
    </w:p>
    <w:p w:rsidR="00D355E1" w:rsidRPr="00D329DD" w:rsidRDefault="00D355E1" w:rsidP="00D329DD">
      <w:pPr>
        <w:autoSpaceDE w:val="0"/>
        <w:autoSpaceDN w:val="0"/>
        <w:adjustRightInd w:val="0"/>
        <w:spacing w:after="0" w:line="240" w:lineRule="auto"/>
        <w:ind w:left="180"/>
        <w:rPr>
          <w:rFonts w:cs="BeraSans-Roman"/>
          <w:sz w:val="20"/>
          <w:szCs w:val="20"/>
        </w:rPr>
      </w:pPr>
    </w:p>
    <w:p w:rsidR="00D355E1" w:rsidRPr="00D329DD" w:rsidRDefault="00D355E1" w:rsidP="00D329DD">
      <w:pPr>
        <w:autoSpaceDE w:val="0"/>
        <w:autoSpaceDN w:val="0"/>
        <w:adjustRightInd w:val="0"/>
        <w:spacing w:after="0" w:line="240" w:lineRule="auto"/>
        <w:ind w:left="180"/>
        <w:rPr>
          <w:rFonts w:cs="BeraSans-Roman"/>
          <w:sz w:val="20"/>
          <w:szCs w:val="20"/>
        </w:rPr>
      </w:pPr>
      <w:r w:rsidRPr="00D329DD">
        <w:rPr>
          <w:rFonts w:cs="BeraSans-Roman"/>
          <w:sz w:val="20"/>
          <w:szCs w:val="20"/>
        </w:rPr>
        <w:t xml:space="preserve">Tide zoning uncertainty values for TCARI tides are loaded on a line-by-line basis using NOAA’s </w:t>
      </w:r>
      <w:proofErr w:type="spellStart"/>
      <w:r w:rsidRPr="00D329DD">
        <w:rPr>
          <w:rFonts w:cs="BeraSans-Roman"/>
          <w:sz w:val="20"/>
          <w:szCs w:val="20"/>
        </w:rPr>
        <w:t>Pydro</w:t>
      </w:r>
      <w:proofErr w:type="spellEnd"/>
      <w:r w:rsidRPr="00D329DD">
        <w:rPr>
          <w:rFonts w:cs="BeraSans-Roman"/>
          <w:sz w:val="20"/>
          <w:szCs w:val="20"/>
        </w:rPr>
        <w:t xml:space="preserve">-TCARI software. </w:t>
      </w:r>
      <w:proofErr w:type="spellStart"/>
      <w:r w:rsidRPr="00D329DD">
        <w:rPr>
          <w:rFonts w:cs="BeraSans-Roman"/>
          <w:sz w:val="20"/>
          <w:szCs w:val="20"/>
        </w:rPr>
        <w:t>Pydro’s</w:t>
      </w:r>
      <w:proofErr w:type="spellEnd"/>
      <w:r w:rsidRPr="00D329DD">
        <w:rPr>
          <w:rFonts w:cs="BeraSans-Roman"/>
          <w:sz w:val="20"/>
          <w:szCs w:val="20"/>
        </w:rPr>
        <w:t xml:space="preserve"> Tides-&gt;CARIS TCARI Tide-&gt;"Load TCARI Tide in HIPS PVDLs" is used in place of CARIS HIPS Process-&gt;Load Tide. This operation in </w:t>
      </w:r>
      <w:proofErr w:type="spellStart"/>
      <w:r w:rsidRPr="00D329DD">
        <w:rPr>
          <w:rFonts w:cs="BeraSans-Roman"/>
          <w:sz w:val="20"/>
          <w:szCs w:val="20"/>
        </w:rPr>
        <w:t>Pydro</w:t>
      </w:r>
      <w:proofErr w:type="spellEnd"/>
      <w:r w:rsidRPr="00D329DD">
        <w:rPr>
          <w:rFonts w:cs="BeraSans-Roman"/>
          <w:sz w:val="20"/>
          <w:szCs w:val="20"/>
        </w:rPr>
        <w:t>-TCARI loads both tide corrector and tide uncertainty data (HDCS "Tide" and "</w:t>
      </w:r>
      <w:proofErr w:type="spellStart"/>
      <w:r w:rsidRPr="00D329DD">
        <w:rPr>
          <w:rFonts w:cs="BeraSans-Roman"/>
          <w:sz w:val="20"/>
          <w:szCs w:val="20"/>
        </w:rPr>
        <w:t>TideErrorFile</w:t>
      </w:r>
      <w:proofErr w:type="spellEnd"/>
      <w:r w:rsidRPr="00D329DD">
        <w:rPr>
          <w:rFonts w:cs="BeraSans-Roman"/>
          <w:sz w:val="20"/>
          <w:szCs w:val="20"/>
        </w:rPr>
        <w:t xml:space="preserve">", respectively) into a given survey line. During HIPS Compute TPU, if </w:t>
      </w:r>
      <w:proofErr w:type="spellStart"/>
      <w:r w:rsidRPr="00D329DD">
        <w:rPr>
          <w:rFonts w:cs="BeraSans-Roman"/>
          <w:sz w:val="20"/>
          <w:szCs w:val="20"/>
        </w:rPr>
        <w:t>TideErrorFile</w:t>
      </w:r>
      <w:proofErr w:type="spellEnd"/>
      <w:r w:rsidRPr="00D329DD">
        <w:rPr>
          <w:rFonts w:cs="BeraSans-Roman"/>
          <w:sz w:val="20"/>
          <w:szCs w:val="20"/>
        </w:rPr>
        <w:t xml:space="preserve"> data exists in a line, then it replaces the </w:t>
      </w:r>
      <w:proofErr w:type="gramStart"/>
      <w:r w:rsidRPr="00D329DD">
        <w:rPr>
          <w:rFonts w:cs="BeraSans-Roman"/>
          <w:sz w:val="20"/>
          <w:szCs w:val="20"/>
        </w:rPr>
        <w:t>Measured</w:t>
      </w:r>
      <w:proofErr w:type="gramEnd"/>
      <w:r w:rsidRPr="00D329DD">
        <w:rPr>
          <w:rFonts w:cs="BeraSans-Roman"/>
          <w:sz w:val="20"/>
          <w:szCs w:val="20"/>
        </w:rPr>
        <w:t xml:space="preserve"> tide uncertainty and sets the Zoning uncertainty value to zero. That is, any values the user has entered in the Compute TPU dialog are irrelevant when </w:t>
      </w:r>
      <w:proofErr w:type="spellStart"/>
      <w:r w:rsidRPr="00D329DD">
        <w:rPr>
          <w:rFonts w:cs="BeraSans-Roman"/>
          <w:sz w:val="20"/>
          <w:szCs w:val="20"/>
        </w:rPr>
        <w:t>TideErrorFile</w:t>
      </w:r>
      <w:proofErr w:type="spellEnd"/>
      <w:r w:rsidRPr="00D329DD">
        <w:rPr>
          <w:rFonts w:cs="BeraSans-Roman"/>
          <w:sz w:val="20"/>
          <w:szCs w:val="20"/>
        </w:rPr>
        <w:t xml:space="preserve"> data is present.</w:t>
      </w:r>
    </w:p>
    <w:p w:rsidR="00D355E1" w:rsidRPr="00D329DD" w:rsidRDefault="00D355E1" w:rsidP="00D329DD">
      <w:pPr>
        <w:autoSpaceDE w:val="0"/>
        <w:autoSpaceDN w:val="0"/>
        <w:adjustRightInd w:val="0"/>
        <w:spacing w:after="0" w:line="240" w:lineRule="auto"/>
        <w:ind w:left="180"/>
        <w:rPr>
          <w:rFonts w:cs="BeraSans-Roman"/>
          <w:sz w:val="20"/>
          <w:szCs w:val="20"/>
        </w:rPr>
      </w:pPr>
    </w:p>
    <w:p w:rsidR="00D355E1" w:rsidRPr="00D329DD" w:rsidRDefault="00D355E1" w:rsidP="00D329DD">
      <w:pPr>
        <w:autoSpaceDE w:val="0"/>
        <w:autoSpaceDN w:val="0"/>
        <w:adjustRightInd w:val="0"/>
        <w:spacing w:after="0" w:line="240" w:lineRule="auto"/>
        <w:ind w:left="180"/>
        <w:rPr>
          <w:rFonts w:cs="BeraSans-Roman"/>
          <w:sz w:val="20"/>
          <w:szCs w:val="20"/>
        </w:rPr>
      </w:pPr>
      <w:r w:rsidRPr="00D329DD">
        <w:rPr>
          <w:rFonts w:cs="BeraSans-Roman"/>
          <w:sz w:val="20"/>
          <w:szCs w:val="20"/>
        </w:rPr>
        <w:t xml:space="preserve">The sound speed component of total propagated uncertainty is a function of environmental variability with respect to space and time and instrument/calibration uncertainty. Of the two, environmental variability has the greatest influence. Sound speed has a complicated dependence on salinity, temperature and pressure with the greatest change in acoustic propagation speed occurring with the change in temperature between the surface and the lower limit of the </w:t>
      </w:r>
      <w:proofErr w:type="spellStart"/>
      <w:r w:rsidRPr="00D329DD">
        <w:rPr>
          <w:rFonts w:cs="BeraSans-Roman"/>
          <w:sz w:val="20"/>
          <w:szCs w:val="20"/>
        </w:rPr>
        <w:t>thermocline</w:t>
      </w:r>
      <w:proofErr w:type="spellEnd"/>
      <w:r w:rsidRPr="00D329DD">
        <w:rPr>
          <w:rFonts w:cs="BeraSans-Roman"/>
          <w:sz w:val="20"/>
          <w:szCs w:val="20"/>
        </w:rPr>
        <w:t>.</w:t>
      </w:r>
    </w:p>
    <w:p w:rsidR="00D355E1" w:rsidRPr="00D329DD" w:rsidRDefault="00D355E1" w:rsidP="00D329DD">
      <w:pPr>
        <w:autoSpaceDE w:val="0"/>
        <w:autoSpaceDN w:val="0"/>
        <w:adjustRightInd w:val="0"/>
        <w:spacing w:after="0" w:line="240" w:lineRule="auto"/>
        <w:ind w:left="180"/>
        <w:rPr>
          <w:rFonts w:cs="BeraSans-Roman"/>
          <w:sz w:val="20"/>
          <w:szCs w:val="20"/>
        </w:rPr>
      </w:pPr>
    </w:p>
    <w:p w:rsidR="00D355E1" w:rsidRPr="00D329DD" w:rsidRDefault="00D355E1" w:rsidP="00D329DD">
      <w:pPr>
        <w:autoSpaceDE w:val="0"/>
        <w:autoSpaceDN w:val="0"/>
        <w:adjustRightInd w:val="0"/>
        <w:spacing w:after="0" w:line="240" w:lineRule="auto"/>
        <w:ind w:left="180"/>
        <w:rPr>
          <w:rFonts w:cs="BeraSans-Roman"/>
          <w:sz w:val="20"/>
          <w:szCs w:val="20"/>
        </w:rPr>
      </w:pPr>
      <w:r w:rsidRPr="00D329DD">
        <w:rPr>
          <w:rFonts w:cs="BeraSans-Roman"/>
          <w:sz w:val="20"/>
          <w:szCs w:val="20"/>
        </w:rPr>
        <w:t xml:space="preserve">HSD has determined that the measured sound speed uncertainty may range from 0.5 to 4 m/s. This range depends on the spatial and temporal environmental variability and the frequency at which </w:t>
      </w:r>
      <w:proofErr w:type="gramStart"/>
      <w:r w:rsidRPr="00D329DD">
        <w:rPr>
          <w:rFonts w:cs="BeraSans-Roman"/>
          <w:sz w:val="20"/>
          <w:szCs w:val="20"/>
        </w:rPr>
        <w:t>sound  speed</w:t>
      </w:r>
      <w:proofErr w:type="gramEnd"/>
      <w:r w:rsidRPr="00D329DD">
        <w:rPr>
          <w:rFonts w:cs="BeraSans-Roman"/>
          <w:sz w:val="20"/>
          <w:szCs w:val="20"/>
        </w:rPr>
        <w:t xml:space="preserve"> casts are taken. Casts taken at a high frequency (i.e. every 15 minutes or less) will capture the spatial variability better and lower the uncertainty values. HSD requires platforms to use the measured uncertainty values (i.e. TPU) for sound speed listed in the CARIS HVF Uncertainty Values.pdf in the Appendix 4.</w:t>
      </w:r>
    </w:p>
    <w:p w:rsidR="00D355E1" w:rsidRPr="00D329DD" w:rsidRDefault="00D355E1" w:rsidP="00D329DD">
      <w:pPr>
        <w:autoSpaceDE w:val="0"/>
        <w:autoSpaceDN w:val="0"/>
        <w:adjustRightInd w:val="0"/>
        <w:spacing w:after="0" w:line="240" w:lineRule="auto"/>
        <w:ind w:left="180"/>
        <w:rPr>
          <w:rFonts w:cs="BeraSans-Roman"/>
          <w:sz w:val="20"/>
          <w:szCs w:val="20"/>
        </w:rPr>
      </w:pPr>
    </w:p>
    <w:p w:rsidR="00D355E1" w:rsidRPr="00D329DD" w:rsidRDefault="00D355E1" w:rsidP="00D329DD">
      <w:pPr>
        <w:autoSpaceDE w:val="0"/>
        <w:autoSpaceDN w:val="0"/>
        <w:adjustRightInd w:val="0"/>
        <w:spacing w:after="0" w:line="240" w:lineRule="auto"/>
        <w:ind w:left="180"/>
        <w:rPr>
          <w:rFonts w:cs="BeraSans-Roman"/>
          <w:sz w:val="20"/>
          <w:szCs w:val="20"/>
        </w:rPr>
      </w:pPr>
      <w:r w:rsidRPr="00D329DD">
        <w:rPr>
          <w:rFonts w:cs="BeraSans-Roman"/>
          <w:sz w:val="20"/>
          <w:szCs w:val="20"/>
        </w:rPr>
        <w:t>Field Units should note the 4 m/s uncertainty estimate (listed in the table from HTD-2 and HTD-10) for a</w:t>
      </w:r>
      <w:r w:rsidR="00C66BCE">
        <w:rPr>
          <w:rFonts w:cs="BeraSans-Roman"/>
          <w:sz w:val="20"/>
          <w:szCs w:val="20"/>
        </w:rPr>
        <w:t>d</w:t>
      </w:r>
      <w:r w:rsidRPr="00D329DD">
        <w:rPr>
          <w:rFonts w:cs="BeraSans-Roman"/>
          <w:sz w:val="20"/>
          <w:szCs w:val="20"/>
        </w:rPr>
        <w:t xml:space="preserve">ditional sound speed casts is a conservative estimated variability value determined via </w:t>
      </w:r>
      <w:proofErr w:type="spellStart"/>
      <w:r w:rsidRPr="00D329DD">
        <w:rPr>
          <w:rFonts w:cs="BeraSans-Roman"/>
          <w:sz w:val="20"/>
          <w:szCs w:val="20"/>
        </w:rPr>
        <w:t>Velocipy</w:t>
      </w:r>
      <w:proofErr w:type="spellEnd"/>
      <w:r w:rsidRPr="00D329DD">
        <w:rPr>
          <w:rFonts w:cs="BeraSans-Roman"/>
          <w:sz w:val="20"/>
          <w:szCs w:val="20"/>
        </w:rPr>
        <w:t xml:space="preserve">. </w:t>
      </w:r>
      <w:proofErr w:type="spellStart"/>
      <w:r w:rsidRPr="00D329DD">
        <w:rPr>
          <w:rFonts w:cs="BeraSans-Roman"/>
          <w:sz w:val="20"/>
          <w:szCs w:val="20"/>
        </w:rPr>
        <w:t>Hydrographers</w:t>
      </w:r>
      <w:proofErr w:type="spellEnd"/>
      <w:r w:rsidRPr="00D329DD">
        <w:rPr>
          <w:rFonts w:cs="BeraSans-Roman"/>
          <w:sz w:val="20"/>
          <w:szCs w:val="20"/>
        </w:rPr>
        <w:t xml:space="preserve"> </w:t>
      </w:r>
      <w:proofErr w:type="gramStart"/>
      <w:r w:rsidRPr="00D329DD">
        <w:rPr>
          <w:rFonts w:cs="BeraSans-Roman"/>
          <w:sz w:val="20"/>
          <w:szCs w:val="20"/>
        </w:rPr>
        <w:t xml:space="preserve">can </w:t>
      </w:r>
      <w:r w:rsidR="00C66BCE">
        <w:rPr>
          <w:rFonts w:cs="BeraSans-Roman"/>
          <w:sz w:val="20"/>
          <w:szCs w:val="20"/>
        </w:rPr>
        <w:t xml:space="preserve"> l</w:t>
      </w:r>
      <w:r w:rsidRPr="00D329DD">
        <w:rPr>
          <w:rFonts w:cs="BeraSans-Roman"/>
          <w:sz w:val="20"/>
          <w:szCs w:val="20"/>
        </w:rPr>
        <w:t>ower</w:t>
      </w:r>
      <w:proofErr w:type="gramEnd"/>
      <w:r w:rsidRPr="00D329DD">
        <w:rPr>
          <w:rFonts w:cs="BeraSans-Roman"/>
          <w:sz w:val="20"/>
          <w:szCs w:val="20"/>
        </w:rPr>
        <w:t xml:space="preserve"> this uncertainty by increasing the number of casts for a given areas. Thus, field units are strongly encouraged to utilize a high frequency cast system (e.g., MVP) whenever possible and especially in highly variable areas. </w:t>
      </w:r>
    </w:p>
    <w:p w:rsidR="00D355E1" w:rsidRPr="00D329DD" w:rsidRDefault="00D355E1" w:rsidP="00D329DD">
      <w:pPr>
        <w:autoSpaceDE w:val="0"/>
        <w:autoSpaceDN w:val="0"/>
        <w:adjustRightInd w:val="0"/>
        <w:spacing w:after="0" w:line="240" w:lineRule="auto"/>
        <w:ind w:left="180"/>
        <w:rPr>
          <w:rFonts w:cs="BeraSans-Roman"/>
          <w:sz w:val="20"/>
          <w:szCs w:val="20"/>
        </w:rPr>
      </w:pPr>
    </w:p>
    <w:p w:rsidR="00D355E1" w:rsidRPr="00D329DD" w:rsidRDefault="00D355E1" w:rsidP="00D329DD">
      <w:pPr>
        <w:autoSpaceDE w:val="0"/>
        <w:autoSpaceDN w:val="0"/>
        <w:adjustRightInd w:val="0"/>
        <w:spacing w:after="0" w:line="240" w:lineRule="auto"/>
        <w:ind w:left="180"/>
        <w:rPr>
          <w:rFonts w:cs="BeraSans-Roman"/>
          <w:sz w:val="20"/>
          <w:szCs w:val="20"/>
        </w:rPr>
      </w:pPr>
      <w:r w:rsidRPr="00D329DD">
        <w:rPr>
          <w:rFonts w:cs="BeraSans-Roman"/>
          <w:sz w:val="20"/>
          <w:szCs w:val="20"/>
        </w:rPr>
        <w:t xml:space="preserve">Sound speed uncertainty is the subject of continuing research and investigation at UNH CCOM/JHC. </w:t>
      </w:r>
      <w:proofErr w:type="spellStart"/>
      <w:r w:rsidRPr="00D329DD">
        <w:rPr>
          <w:rFonts w:cs="BeraSans-Roman"/>
          <w:sz w:val="20"/>
          <w:szCs w:val="20"/>
        </w:rPr>
        <w:t>Velocipy</w:t>
      </w:r>
      <w:proofErr w:type="spellEnd"/>
      <w:r w:rsidRPr="00D329DD">
        <w:rPr>
          <w:rFonts w:cs="BeraSans-Roman"/>
          <w:sz w:val="20"/>
          <w:szCs w:val="20"/>
        </w:rPr>
        <w:t xml:space="preserve"> has incorporated some of this research such as the Uncertainty Wedge Analysis (UWA) and statistically estimating sound speed uncertainty (ESS). See the </w:t>
      </w:r>
      <w:proofErr w:type="spellStart"/>
      <w:r w:rsidRPr="00D329DD">
        <w:rPr>
          <w:rFonts w:cs="BeraSans-Roman"/>
          <w:sz w:val="20"/>
          <w:szCs w:val="20"/>
        </w:rPr>
        <w:t>Velocipy</w:t>
      </w:r>
      <w:proofErr w:type="spellEnd"/>
      <w:r w:rsidRPr="00D329DD">
        <w:rPr>
          <w:rFonts w:cs="BeraSans-Roman"/>
          <w:sz w:val="20"/>
          <w:szCs w:val="20"/>
        </w:rPr>
        <w:t xml:space="preserve"> Operations Manual (included on the </w:t>
      </w:r>
      <w:proofErr w:type="spellStart"/>
      <w:r w:rsidRPr="00D329DD">
        <w:rPr>
          <w:rFonts w:cs="BeraSans-Roman"/>
          <w:sz w:val="20"/>
          <w:szCs w:val="20"/>
        </w:rPr>
        <w:t>Hydrosoft</w:t>
      </w:r>
      <w:proofErr w:type="spellEnd"/>
      <w:r w:rsidRPr="00D329DD">
        <w:rPr>
          <w:rFonts w:cs="BeraSans-Roman"/>
          <w:sz w:val="20"/>
          <w:szCs w:val="20"/>
        </w:rPr>
        <w:t xml:space="preserve"> website) for more information. Future research is underway to create an algorithm to estimate the sound speed uncertainty value more accurately using temporal and spatial separation between the sound speed profiles and soundings.</w:t>
      </w:r>
    </w:p>
    <w:p w:rsidR="00D355E1" w:rsidRPr="00D329DD" w:rsidRDefault="00D355E1" w:rsidP="00D329DD">
      <w:pPr>
        <w:autoSpaceDE w:val="0"/>
        <w:autoSpaceDN w:val="0"/>
        <w:adjustRightInd w:val="0"/>
        <w:spacing w:after="0" w:line="240" w:lineRule="auto"/>
        <w:ind w:left="180"/>
        <w:rPr>
          <w:rFonts w:cs="BeraSans-Roman"/>
          <w:sz w:val="20"/>
          <w:szCs w:val="20"/>
        </w:rPr>
      </w:pPr>
    </w:p>
    <w:p w:rsidR="00D355E1" w:rsidRPr="00D329DD" w:rsidRDefault="00D355E1" w:rsidP="00D329DD">
      <w:pPr>
        <w:autoSpaceDE w:val="0"/>
        <w:autoSpaceDN w:val="0"/>
        <w:adjustRightInd w:val="0"/>
        <w:spacing w:after="0" w:line="240" w:lineRule="auto"/>
        <w:ind w:left="180"/>
        <w:rPr>
          <w:rFonts w:cs="BeraSans-Roman"/>
          <w:sz w:val="20"/>
          <w:szCs w:val="20"/>
        </w:rPr>
      </w:pPr>
      <w:r w:rsidRPr="00D329DD">
        <w:rPr>
          <w:rFonts w:cs="BeraSans-Roman"/>
          <w:sz w:val="20"/>
          <w:szCs w:val="20"/>
        </w:rPr>
        <w:t>Field units which have not been trained in the proper use of the UWA and ESS within the</w:t>
      </w:r>
      <w:r w:rsidR="0029211B">
        <w:rPr>
          <w:rFonts w:cs="BeraSans-Roman"/>
          <w:sz w:val="20"/>
          <w:szCs w:val="20"/>
        </w:rPr>
        <w:t xml:space="preserve"> </w:t>
      </w:r>
      <w:proofErr w:type="spellStart"/>
      <w:r w:rsidRPr="00D329DD">
        <w:rPr>
          <w:rFonts w:cs="BeraSans-Roman"/>
          <w:sz w:val="20"/>
          <w:szCs w:val="20"/>
        </w:rPr>
        <w:t>Velocipy</w:t>
      </w:r>
      <w:proofErr w:type="spellEnd"/>
      <w:r w:rsidRPr="00D329DD">
        <w:rPr>
          <w:rFonts w:cs="BeraSans-Roman"/>
          <w:sz w:val="20"/>
          <w:szCs w:val="20"/>
        </w:rPr>
        <w:t xml:space="preserve"> software should use the uncertainty values listed in the CARIS HVF Uncertainty Values</w:t>
      </w:r>
      <w:r w:rsidR="0029211B">
        <w:rPr>
          <w:rFonts w:cs="BeraSans-Roman"/>
          <w:sz w:val="20"/>
          <w:szCs w:val="20"/>
        </w:rPr>
        <w:t xml:space="preserve"> </w:t>
      </w:r>
      <w:r w:rsidRPr="00D329DD">
        <w:rPr>
          <w:rFonts w:cs="BeraSans-Roman"/>
          <w:sz w:val="20"/>
          <w:szCs w:val="20"/>
        </w:rPr>
        <w:t>.</w:t>
      </w:r>
      <w:proofErr w:type="spellStart"/>
      <w:r w:rsidRPr="00D329DD">
        <w:rPr>
          <w:rFonts w:cs="BeraSans-Roman"/>
          <w:sz w:val="20"/>
          <w:szCs w:val="20"/>
        </w:rPr>
        <w:t>pdf</w:t>
      </w:r>
      <w:proofErr w:type="spellEnd"/>
      <w:r w:rsidRPr="00D329DD">
        <w:rPr>
          <w:rFonts w:cs="BeraSans-Roman"/>
          <w:sz w:val="20"/>
          <w:szCs w:val="20"/>
        </w:rPr>
        <w:t xml:space="preserve"> in the Appendix 4 but are welcome to test out the program. All MBES platforms can</w:t>
      </w:r>
      <w:r w:rsidR="0029211B">
        <w:rPr>
          <w:rFonts w:cs="BeraSans-Roman"/>
          <w:sz w:val="20"/>
          <w:szCs w:val="20"/>
        </w:rPr>
        <w:t xml:space="preserve"> </w:t>
      </w:r>
      <w:r w:rsidRPr="00D329DD">
        <w:rPr>
          <w:rFonts w:cs="BeraSans-Roman"/>
          <w:sz w:val="20"/>
          <w:szCs w:val="20"/>
        </w:rPr>
        <w:t>expect to use this algorithm by the 2011 field season.</w:t>
      </w:r>
    </w:p>
    <w:p w:rsidR="00D355E1" w:rsidRPr="00D329DD" w:rsidRDefault="00D355E1" w:rsidP="00D329DD">
      <w:pPr>
        <w:autoSpaceDE w:val="0"/>
        <w:autoSpaceDN w:val="0"/>
        <w:adjustRightInd w:val="0"/>
        <w:spacing w:after="0" w:line="240" w:lineRule="auto"/>
        <w:ind w:left="180"/>
        <w:rPr>
          <w:rFonts w:cs="BeraSans-Roman"/>
          <w:sz w:val="20"/>
          <w:szCs w:val="20"/>
        </w:rPr>
      </w:pPr>
      <w:r w:rsidRPr="00D329DD">
        <w:rPr>
          <w:rFonts w:cs="BeraSans-Roman"/>
          <w:sz w:val="20"/>
          <w:szCs w:val="20"/>
        </w:rPr>
        <w:br/>
        <w:t>The TPU values associated with surface sound speed have a smaller range and magnitude</w:t>
      </w:r>
      <w:r w:rsidR="0029211B">
        <w:rPr>
          <w:rFonts w:cs="BeraSans-Roman"/>
          <w:sz w:val="20"/>
          <w:szCs w:val="20"/>
        </w:rPr>
        <w:t xml:space="preserve"> </w:t>
      </w:r>
      <w:r w:rsidRPr="00D329DD">
        <w:rPr>
          <w:rFonts w:cs="BeraSans-Roman"/>
          <w:sz w:val="20"/>
          <w:szCs w:val="20"/>
        </w:rPr>
        <w:t>than measured sound speed (0.2 m/s to 2 m/s) because sound speed is continually measured</w:t>
      </w:r>
      <w:r w:rsidR="0029211B">
        <w:rPr>
          <w:rFonts w:cs="BeraSans-Roman"/>
          <w:sz w:val="20"/>
          <w:szCs w:val="20"/>
        </w:rPr>
        <w:t xml:space="preserve"> </w:t>
      </w:r>
      <w:r w:rsidRPr="00D329DD">
        <w:rPr>
          <w:rFonts w:cs="BeraSans-Roman"/>
          <w:sz w:val="20"/>
          <w:szCs w:val="20"/>
        </w:rPr>
        <w:t>at the transducer. The sound speed uncertainty, therefore, is dictated by the sound speed</w:t>
      </w:r>
      <w:r w:rsidR="0029211B">
        <w:rPr>
          <w:rFonts w:cs="BeraSans-Roman"/>
          <w:sz w:val="20"/>
          <w:szCs w:val="20"/>
        </w:rPr>
        <w:t xml:space="preserve"> </w:t>
      </w:r>
      <w:r w:rsidRPr="00D329DD">
        <w:rPr>
          <w:rFonts w:cs="BeraSans-Roman"/>
          <w:sz w:val="20"/>
          <w:szCs w:val="20"/>
        </w:rPr>
        <w:t xml:space="preserve">gradient at the </w:t>
      </w:r>
      <w:proofErr w:type="spellStart"/>
      <w:r w:rsidRPr="00D329DD">
        <w:rPr>
          <w:rFonts w:cs="BeraSans-Roman"/>
          <w:sz w:val="20"/>
          <w:szCs w:val="20"/>
        </w:rPr>
        <w:t>velocimeter’s</w:t>
      </w:r>
      <w:proofErr w:type="spellEnd"/>
      <w:r w:rsidRPr="00D329DD">
        <w:rPr>
          <w:rFonts w:cs="BeraSans-Roman"/>
          <w:sz w:val="20"/>
          <w:szCs w:val="20"/>
        </w:rPr>
        <w:t xml:space="preserve"> sensor head.</w:t>
      </w:r>
    </w:p>
    <w:p w:rsidR="00D355E1" w:rsidRPr="00D329DD" w:rsidRDefault="00D355E1" w:rsidP="00D329DD">
      <w:pPr>
        <w:autoSpaceDE w:val="0"/>
        <w:autoSpaceDN w:val="0"/>
        <w:adjustRightInd w:val="0"/>
        <w:spacing w:after="0" w:line="240" w:lineRule="auto"/>
        <w:ind w:left="180"/>
        <w:rPr>
          <w:rFonts w:cs="BeraSans-Roman"/>
          <w:sz w:val="20"/>
          <w:szCs w:val="20"/>
        </w:rPr>
      </w:pPr>
    </w:p>
    <w:p w:rsidR="00D355E1" w:rsidRPr="00D329DD" w:rsidRDefault="00D355E1" w:rsidP="00D329DD">
      <w:pPr>
        <w:autoSpaceDE w:val="0"/>
        <w:autoSpaceDN w:val="0"/>
        <w:adjustRightInd w:val="0"/>
        <w:spacing w:after="0" w:line="240" w:lineRule="auto"/>
        <w:ind w:left="180"/>
        <w:rPr>
          <w:rFonts w:cs="BeraSans-Roman"/>
          <w:sz w:val="20"/>
          <w:szCs w:val="20"/>
        </w:rPr>
      </w:pPr>
      <w:r w:rsidRPr="00D329DD">
        <w:rPr>
          <w:rFonts w:cs="BeraSans-Roman"/>
          <w:sz w:val="20"/>
          <w:szCs w:val="20"/>
        </w:rPr>
        <w:lastRenderedPageBreak/>
        <w:t>If field units wish to deviate from the sound speed uncertainty values listed here, a review</w:t>
      </w:r>
      <w:r w:rsidR="0029211B">
        <w:rPr>
          <w:rFonts w:cs="BeraSans-Roman"/>
          <w:sz w:val="20"/>
          <w:szCs w:val="20"/>
        </w:rPr>
        <w:t xml:space="preserve"> </w:t>
      </w:r>
      <w:r w:rsidRPr="00D329DD">
        <w:rPr>
          <w:rFonts w:cs="BeraSans-Roman"/>
          <w:sz w:val="20"/>
          <w:szCs w:val="20"/>
        </w:rPr>
        <w:t>of the variability in the surface sound speed will be necessary to estimate the sound speed</w:t>
      </w:r>
      <w:r w:rsidR="0029211B">
        <w:rPr>
          <w:rFonts w:cs="BeraSans-Roman"/>
          <w:sz w:val="20"/>
          <w:szCs w:val="20"/>
        </w:rPr>
        <w:t xml:space="preserve"> </w:t>
      </w:r>
      <w:r w:rsidRPr="00D329DD">
        <w:rPr>
          <w:rFonts w:cs="BeraSans-Roman"/>
          <w:sz w:val="20"/>
          <w:szCs w:val="20"/>
        </w:rPr>
        <w:t>uncertainty for a given survey. If the field unit can prove through detailed documentation and</w:t>
      </w:r>
      <w:r w:rsidR="0029211B">
        <w:rPr>
          <w:rFonts w:cs="BeraSans-Roman"/>
          <w:sz w:val="20"/>
          <w:szCs w:val="20"/>
        </w:rPr>
        <w:t xml:space="preserve"> </w:t>
      </w:r>
      <w:r w:rsidRPr="00D329DD">
        <w:rPr>
          <w:rFonts w:cs="BeraSans-Roman"/>
          <w:sz w:val="20"/>
          <w:szCs w:val="20"/>
        </w:rPr>
        <w:t>calculation that their calculated uncertainty is lower than those stated in the CARIS HVF Uncertainty</w:t>
      </w:r>
      <w:r w:rsidR="0029211B">
        <w:rPr>
          <w:rFonts w:cs="BeraSans-Roman"/>
          <w:sz w:val="20"/>
          <w:szCs w:val="20"/>
        </w:rPr>
        <w:t xml:space="preserve"> </w:t>
      </w:r>
      <w:r w:rsidRPr="00D329DD">
        <w:rPr>
          <w:rFonts w:cs="BeraSans-Roman"/>
          <w:sz w:val="20"/>
          <w:szCs w:val="20"/>
        </w:rPr>
        <w:t>Values.pdf (see Appendix 4), then the lower value may be used. As with any deviation</w:t>
      </w:r>
      <w:r w:rsidR="0029211B">
        <w:rPr>
          <w:rFonts w:cs="BeraSans-Roman"/>
          <w:sz w:val="20"/>
          <w:szCs w:val="20"/>
        </w:rPr>
        <w:t xml:space="preserve"> </w:t>
      </w:r>
      <w:r w:rsidRPr="00D329DD">
        <w:rPr>
          <w:rFonts w:cs="BeraSans-Roman"/>
          <w:sz w:val="20"/>
          <w:szCs w:val="20"/>
        </w:rPr>
        <w:t>from procedures specified in the HTD’s, FPM or the HSSD, methods for estimating uncertainty,</w:t>
      </w:r>
      <w:r w:rsidR="0029211B">
        <w:rPr>
          <w:rFonts w:cs="BeraSans-Roman"/>
          <w:sz w:val="20"/>
          <w:szCs w:val="20"/>
        </w:rPr>
        <w:t xml:space="preserve"> </w:t>
      </w:r>
      <w:r w:rsidRPr="00D329DD">
        <w:rPr>
          <w:rFonts w:cs="BeraSans-Roman"/>
          <w:sz w:val="20"/>
          <w:szCs w:val="20"/>
        </w:rPr>
        <w:t>and justification for this deviation, should be clearly described in the Descriptive Report as well</w:t>
      </w:r>
    </w:p>
    <w:p w:rsidR="00D355E1" w:rsidRDefault="00D355E1" w:rsidP="00D329DD">
      <w:pPr>
        <w:autoSpaceDE w:val="0"/>
        <w:autoSpaceDN w:val="0"/>
        <w:adjustRightInd w:val="0"/>
        <w:spacing w:after="0" w:line="240" w:lineRule="auto"/>
        <w:ind w:left="180"/>
        <w:rPr>
          <w:rFonts w:cs="BeraSans-Roman"/>
          <w:sz w:val="20"/>
          <w:szCs w:val="20"/>
        </w:rPr>
      </w:pPr>
      <w:proofErr w:type="gramStart"/>
      <w:r w:rsidRPr="00D329DD">
        <w:rPr>
          <w:rFonts w:cs="BeraSans-Roman"/>
          <w:sz w:val="20"/>
          <w:szCs w:val="20"/>
        </w:rPr>
        <w:t>as</w:t>
      </w:r>
      <w:proofErr w:type="gramEnd"/>
      <w:r w:rsidRPr="00D329DD">
        <w:rPr>
          <w:rFonts w:cs="BeraSans-Roman"/>
          <w:sz w:val="20"/>
          <w:szCs w:val="20"/>
        </w:rPr>
        <w:t xml:space="preserve"> the Data Acquisition and Processing Report. The field should be aware, however, that if the</w:t>
      </w:r>
      <w:r w:rsidR="0029211B">
        <w:rPr>
          <w:rFonts w:cs="BeraSans-Roman"/>
          <w:sz w:val="20"/>
          <w:szCs w:val="20"/>
        </w:rPr>
        <w:t xml:space="preserve"> </w:t>
      </w:r>
      <w:r w:rsidRPr="00D329DD">
        <w:rPr>
          <w:rFonts w:cs="BeraSans-Roman"/>
          <w:sz w:val="20"/>
          <w:szCs w:val="20"/>
        </w:rPr>
        <w:t>processing branches disagree with the method used, any corresponding surveys using these</w:t>
      </w:r>
      <w:r w:rsidR="0029211B">
        <w:rPr>
          <w:rFonts w:cs="BeraSans-Roman"/>
          <w:sz w:val="20"/>
          <w:szCs w:val="20"/>
        </w:rPr>
        <w:t xml:space="preserve"> </w:t>
      </w:r>
      <w:r w:rsidRPr="00D329DD">
        <w:rPr>
          <w:rFonts w:cs="BeraSans-Roman"/>
          <w:sz w:val="20"/>
          <w:szCs w:val="20"/>
        </w:rPr>
        <w:t>uncertainty values may be returned to the vessel. Therefore, HSD strongly recommends that</w:t>
      </w:r>
      <w:r w:rsidR="0029211B">
        <w:rPr>
          <w:rFonts w:cs="BeraSans-Roman"/>
          <w:sz w:val="20"/>
          <w:szCs w:val="20"/>
        </w:rPr>
        <w:t xml:space="preserve"> </w:t>
      </w:r>
      <w:r w:rsidRPr="00D329DD">
        <w:rPr>
          <w:rFonts w:cs="BeraSans-Roman"/>
          <w:sz w:val="20"/>
          <w:szCs w:val="20"/>
        </w:rPr>
        <w:t>field units communicate to the branch their proposed approach. If the branch feels the method</w:t>
      </w:r>
      <w:r w:rsidR="0029211B">
        <w:rPr>
          <w:rFonts w:cs="BeraSans-Roman"/>
          <w:sz w:val="20"/>
          <w:szCs w:val="20"/>
        </w:rPr>
        <w:t xml:space="preserve"> </w:t>
      </w:r>
      <w:r w:rsidRPr="00D329DD">
        <w:rPr>
          <w:rFonts w:cs="BeraSans-Roman"/>
          <w:sz w:val="20"/>
          <w:szCs w:val="20"/>
        </w:rPr>
        <w:t>is adequate, a detailed description of the method, corresponding calculations and data will</w:t>
      </w:r>
      <w:r w:rsidR="0029211B">
        <w:rPr>
          <w:rFonts w:cs="BeraSans-Roman"/>
          <w:sz w:val="20"/>
          <w:szCs w:val="20"/>
        </w:rPr>
        <w:t xml:space="preserve"> </w:t>
      </w:r>
      <w:r w:rsidRPr="00D329DD">
        <w:rPr>
          <w:rFonts w:cs="BeraSans-Roman"/>
          <w:sz w:val="20"/>
          <w:szCs w:val="20"/>
        </w:rPr>
        <w:t>need to be sent to HSD for verification (and dissemination to other field units if approved).</w:t>
      </w:r>
    </w:p>
    <w:p w:rsidR="0029211B" w:rsidRPr="00D329DD" w:rsidRDefault="0029211B" w:rsidP="00D329DD">
      <w:pPr>
        <w:autoSpaceDE w:val="0"/>
        <w:autoSpaceDN w:val="0"/>
        <w:adjustRightInd w:val="0"/>
        <w:spacing w:after="0" w:line="240" w:lineRule="auto"/>
        <w:ind w:left="180"/>
        <w:rPr>
          <w:rFonts w:cs="BeraSans-Roman"/>
          <w:sz w:val="20"/>
          <w:szCs w:val="20"/>
        </w:rPr>
      </w:pPr>
    </w:p>
    <w:p w:rsidR="00D355E1" w:rsidRPr="00D329DD" w:rsidRDefault="00D355E1" w:rsidP="00D329DD">
      <w:pPr>
        <w:autoSpaceDE w:val="0"/>
        <w:autoSpaceDN w:val="0"/>
        <w:adjustRightInd w:val="0"/>
        <w:spacing w:after="0" w:line="240" w:lineRule="auto"/>
        <w:ind w:left="180"/>
        <w:rPr>
          <w:rFonts w:cs="BeraSans-Roman"/>
          <w:sz w:val="20"/>
          <w:szCs w:val="20"/>
        </w:rPr>
      </w:pPr>
      <w:r w:rsidRPr="00D329DD">
        <w:rPr>
          <w:rFonts w:cs="BeraSans-Roman"/>
          <w:sz w:val="20"/>
          <w:szCs w:val="20"/>
        </w:rPr>
        <w:t>NOAA does not currently conduct sweep surveys, and the lower section of the TPU dialog</w:t>
      </w:r>
    </w:p>
    <w:p w:rsidR="00D355E1" w:rsidRPr="00D329DD" w:rsidRDefault="00D355E1" w:rsidP="00D329DD">
      <w:pPr>
        <w:autoSpaceDE w:val="0"/>
        <w:autoSpaceDN w:val="0"/>
        <w:adjustRightInd w:val="0"/>
        <w:spacing w:after="0" w:line="240" w:lineRule="auto"/>
        <w:ind w:left="180"/>
        <w:rPr>
          <w:rFonts w:cs="BeraSans-Roman"/>
          <w:sz w:val="20"/>
          <w:szCs w:val="20"/>
        </w:rPr>
      </w:pPr>
      <w:proofErr w:type="gramStart"/>
      <w:r w:rsidRPr="00D329DD">
        <w:rPr>
          <w:rFonts w:cs="BeraSans-Roman"/>
          <w:sz w:val="20"/>
          <w:szCs w:val="20"/>
        </w:rPr>
        <w:t>box</w:t>
      </w:r>
      <w:proofErr w:type="gramEnd"/>
      <w:r w:rsidRPr="00D329DD">
        <w:rPr>
          <w:rFonts w:cs="BeraSans-Roman"/>
          <w:sz w:val="20"/>
          <w:szCs w:val="20"/>
        </w:rPr>
        <w:t xml:space="preserve"> is not utilized.</w:t>
      </w:r>
    </w:p>
    <w:p w:rsidR="00D355E1" w:rsidRPr="00D329DD" w:rsidRDefault="00D355E1" w:rsidP="00D329DD">
      <w:pPr>
        <w:autoSpaceDE w:val="0"/>
        <w:autoSpaceDN w:val="0"/>
        <w:adjustRightInd w:val="0"/>
        <w:spacing w:after="0" w:line="240" w:lineRule="auto"/>
        <w:ind w:left="180"/>
        <w:rPr>
          <w:rFonts w:cs="BeraSans-Roman"/>
          <w:sz w:val="20"/>
          <w:szCs w:val="20"/>
        </w:rPr>
      </w:pPr>
    </w:p>
    <w:p w:rsidR="00D355E1" w:rsidRPr="00D329DD" w:rsidRDefault="00D355E1" w:rsidP="00D329DD">
      <w:pPr>
        <w:autoSpaceDE w:val="0"/>
        <w:autoSpaceDN w:val="0"/>
        <w:adjustRightInd w:val="0"/>
        <w:spacing w:after="0" w:line="240" w:lineRule="auto"/>
        <w:ind w:left="180"/>
        <w:rPr>
          <w:rFonts w:cs="BeraSans-Roman"/>
          <w:sz w:val="20"/>
          <w:szCs w:val="20"/>
        </w:rPr>
      </w:pPr>
      <w:r w:rsidRPr="00D329DD">
        <w:rPr>
          <w:rFonts w:cs="BeraSans-Roman"/>
          <w:sz w:val="20"/>
          <w:szCs w:val="20"/>
        </w:rPr>
        <w:t>The TPU values for each sounding (</w:t>
      </w:r>
      <w:proofErr w:type="spellStart"/>
      <w:r w:rsidRPr="00D329DD">
        <w:rPr>
          <w:rFonts w:cs="CMMI10"/>
          <w:sz w:val="20"/>
          <w:szCs w:val="20"/>
        </w:rPr>
        <w:t>σV</w:t>
      </w:r>
      <w:proofErr w:type="spellEnd"/>
      <w:r w:rsidRPr="00D329DD">
        <w:rPr>
          <w:rFonts w:cs="CMMI10"/>
          <w:sz w:val="20"/>
          <w:szCs w:val="20"/>
        </w:rPr>
        <w:t xml:space="preserve"> </w:t>
      </w:r>
      <w:r w:rsidRPr="00D329DD">
        <w:rPr>
          <w:rFonts w:cs="BeraSans-Roman"/>
          <w:sz w:val="20"/>
          <w:szCs w:val="20"/>
        </w:rPr>
        <w:t>and</w:t>
      </w:r>
      <w:r w:rsidR="00D329DD" w:rsidRPr="00D329DD">
        <w:rPr>
          <w:rFonts w:cs="CMMI10"/>
          <w:sz w:val="20"/>
          <w:szCs w:val="20"/>
        </w:rPr>
        <w:t xml:space="preserve"> </w:t>
      </w:r>
      <w:proofErr w:type="spellStart"/>
      <w:r w:rsidR="00D329DD" w:rsidRPr="00D329DD">
        <w:rPr>
          <w:rFonts w:cs="CMMI10"/>
          <w:sz w:val="20"/>
          <w:szCs w:val="20"/>
        </w:rPr>
        <w:t>σ</w:t>
      </w:r>
      <w:r w:rsidRPr="00D329DD">
        <w:rPr>
          <w:rFonts w:cs="CMMI10"/>
          <w:sz w:val="20"/>
          <w:szCs w:val="20"/>
        </w:rPr>
        <w:t>H</w:t>
      </w:r>
      <w:proofErr w:type="spellEnd"/>
      <w:r w:rsidRPr="00D329DD">
        <w:rPr>
          <w:rFonts w:cs="BeraSans-Roman"/>
          <w:sz w:val="20"/>
          <w:szCs w:val="20"/>
        </w:rPr>
        <w:t>) will be computed at the 95% confidence interval.</w:t>
      </w:r>
    </w:p>
    <w:p w:rsidR="00DB28C3" w:rsidRDefault="00DB28C3" w:rsidP="00D355E1"/>
    <w:p w:rsidR="00824DD9" w:rsidRDefault="00824DD9" w:rsidP="00D355E1"/>
    <w:p w:rsidR="00824DD9" w:rsidRDefault="00824DD9" w:rsidP="00D355E1"/>
    <w:p w:rsidR="00824DD9" w:rsidRDefault="00824DD9" w:rsidP="00D355E1"/>
    <w:p w:rsidR="00824DD9" w:rsidRDefault="00824DD9" w:rsidP="00D355E1"/>
    <w:p w:rsidR="00824DD9" w:rsidRDefault="00824DD9" w:rsidP="00D355E1"/>
    <w:p w:rsidR="00824DD9" w:rsidRDefault="00824DD9" w:rsidP="00D355E1"/>
    <w:p w:rsidR="00824DD9" w:rsidRDefault="00824DD9" w:rsidP="00D355E1"/>
    <w:p w:rsidR="00824DD9" w:rsidRDefault="00824DD9" w:rsidP="00D355E1"/>
    <w:p w:rsidR="00824DD9" w:rsidRDefault="00824DD9" w:rsidP="00D355E1"/>
    <w:p w:rsidR="00824DD9" w:rsidRDefault="00824DD9" w:rsidP="00D355E1"/>
    <w:p w:rsidR="00824DD9" w:rsidRDefault="00824DD9" w:rsidP="00D355E1"/>
    <w:p w:rsidR="00824DD9" w:rsidRDefault="00824DD9" w:rsidP="00D355E1"/>
    <w:p w:rsidR="00824DD9" w:rsidRDefault="00824DD9" w:rsidP="00D355E1"/>
    <w:p w:rsidR="00824DD9" w:rsidRDefault="00824DD9" w:rsidP="00D355E1"/>
    <w:p w:rsidR="00824DD9" w:rsidRDefault="00824DD9" w:rsidP="00D355E1"/>
    <w:p w:rsidR="00824DD9" w:rsidRDefault="00824DD9" w:rsidP="00D355E1"/>
    <w:p w:rsidR="00B37512" w:rsidRDefault="0029211B" w:rsidP="00834E2A">
      <w:pPr>
        <w:pStyle w:val="Heading2"/>
      </w:pPr>
      <w:r>
        <w:rPr>
          <w:noProof/>
        </w:rPr>
        <w:lastRenderedPageBreak/>
        <w:drawing>
          <wp:anchor distT="0" distB="0" distL="114300" distR="114300" simplePos="0" relativeHeight="251671552" behindDoc="0" locked="0" layoutInCell="1" allowOverlap="1">
            <wp:simplePos x="0" y="0"/>
            <wp:positionH relativeFrom="column">
              <wp:posOffset>19050</wp:posOffset>
            </wp:positionH>
            <wp:positionV relativeFrom="paragraph">
              <wp:posOffset>204107</wp:posOffset>
            </wp:positionV>
            <wp:extent cx="5531049" cy="8009164"/>
            <wp:effectExtent l="1905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srcRect l="20918" t="9724" r="40722" b="3381"/>
                    <a:stretch>
                      <a:fillRect/>
                    </a:stretch>
                  </pic:blipFill>
                  <pic:spPr bwMode="auto">
                    <a:xfrm>
                      <a:off x="0" y="0"/>
                      <a:ext cx="5531049" cy="8009164"/>
                    </a:xfrm>
                    <a:prstGeom prst="rect">
                      <a:avLst/>
                    </a:prstGeom>
                    <a:noFill/>
                    <a:ln w="9525">
                      <a:noFill/>
                      <a:miter lim="800000"/>
                      <a:headEnd/>
                      <a:tailEnd/>
                    </a:ln>
                  </pic:spPr>
                </pic:pic>
              </a:graphicData>
            </a:graphic>
          </wp:anchor>
        </w:drawing>
      </w:r>
      <w:bookmarkStart w:id="11" w:name="_Toc289174311"/>
      <w:r w:rsidR="00B37512">
        <w:t>Appendix 3 – CUBE</w:t>
      </w:r>
      <w:bookmarkEnd w:id="11"/>
      <w:r>
        <w:br/>
      </w:r>
    </w:p>
    <w:p w:rsidR="001066A0" w:rsidRDefault="001066A0" w:rsidP="00D355E1">
      <w:r>
        <w:rPr>
          <w:noProof/>
        </w:rPr>
        <w:lastRenderedPageBreak/>
        <w:drawing>
          <wp:inline distT="0" distB="0" distL="0" distR="0">
            <wp:extent cx="5875564" cy="8106623"/>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srcRect l="20568" t="9890" r="40541" b="4396"/>
                    <a:stretch>
                      <a:fillRect/>
                    </a:stretch>
                  </pic:blipFill>
                  <pic:spPr bwMode="auto">
                    <a:xfrm>
                      <a:off x="0" y="0"/>
                      <a:ext cx="5876406" cy="8107784"/>
                    </a:xfrm>
                    <a:prstGeom prst="rect">
                      <a:avLst/>
                    </a:prstGeom>
                    <a:noFill/>
                    <a:ln w="9525">
                      <a:noFill/>
                      <a:miter lim="800000"/>
                      <a:headEnd/>
                      <a:tailEnd/>
                    </a:ln>
                  </pic:spPr>
                </pic:pic>
              </a:graphicData>
            </a:graphic>
          </wp:inline>
        </w:drawing>
      </w:r>
    </w:p>
    <w:p w:rsidR="001066A0" w:rsidRDefault="001066A0" w:rsidP="00D355E1">
      <w:r>
        <w:rPr>
          <w:noProof/>
        </w:rPr>
        <w:lastRenderedPageBreak/>
        <w:drawing>
          <wp:inline distT="0" distB="0" distL="0" distR="0">
            <wp:extent cx="5777593" cy="8196281"/>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srcRect l="20568" t="6813" r="40541" b="5055"/>
                    <a:stretch>
                      <a:fillRect/>
                    </a:stretch>
                  </pic:blipFill>
                  <pic:spPr bwMode="auto">
                    <a:xfrm>
                      <a:off x="0" y="0"/>
                      <a:ext cx="5777593" cy="8196281"/>
                    </a:xfrm>
                    <a:prstGeom prst="rect">
                      <a:avLst/>
                    </a:prstGeom>
                    <a:noFill/>
                    <a:ln w="9525">
                      <a:noFill/>
                      <a:miter lim="800000"/>
                      <a:headEnd/>
                      <a:tailEnd/>
                    </a:ln>
                  </pic:spPr>
                </pic:pic>
              </a:graphicData>
            </a:graphic>
          </wp:inline>
        </w:drawing>
      </w:r>
    </w:p>
    <w:p w:rsidR="001066A0" w:rsidRDefault="001066A0" w:rsidP="00D355E1">
      <w:r>
        <w:rPr>
          <w:noProof/>
        </w:rPr>
        <w:lastRenderedPageBreak/>
        <w:drawing>
          <wp:inline distT="0" distB="0" distL="0" distR="0">
            <wp:extent cx="5809613" cy="8262257"/>
            <wp:effectExtent l="19050" t="0" r="637"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srcRect l="20568" t="9231" r="40678" b="2418"/>
                    <a:stretch>
                      <a:fillRect/>
                    </a:stretch>
                  </pic:blipFill>
                  <pic:spPr bwMode="auto">
                    <a:xfrm>
                      <a:off x="0" y="0"/>
                      <a:ext cx="5809990" cy="8262793"/>
                    </a:xfrm>
                    <a:prstGeom prst="rect">
                      <a:avLst/>
                    </a:prstGeom>
                    <a:noFill/>
                    <a:ln w="9525">
                      <a:noFill/>
                      <a:miter lim="800000"/>
                      <a:headEnd/>
                      <a:tailEnd/>
                    </a:ln>
                  </pic:spPr>
                </pic:pic>
              </a:graphicData>
            </a:graphic>
          </wp:inline>
        </w:drawing>
      </w:r>
    </w:p>
    <w:p w:rsidR="001066A0" w:rsidRDefault="001066A0" w:rsidP="00D355E1">
      <w:r>
        <w:rPr>
          <w:noProof/>
        </w:rPr>
        <w:lastRenderedPageBreak/>
        <w:drawing>
          <wp:inline distT="0" distB="0" distL="0" distR="0">
            <wp:extent cx="5818414" cy="8203561"/>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cstate="print"/>
                    <a:srcRect l="20568" t="7692" r="39718" b="2857"/>
                    <a:stretch>
                      <a:fillRect/>
                    </a:stretch>
                  </pic:blipFill>
                  <pic:spPr bwMode="auto">
                    <a:xfrm>
                      <a:off x="0" y="0"/>
                      <a:ext cx="5820903" cy="8207070"/>
                    </a:xfrm>
                    <a:prstGeom prst="rect">
                      <a:avLst/>
                    </a:prstGeom>
                    <a:noFill/>
                    <a:ln w="9525">
                      <a:noFill/>
                      <a:miter lim="800000"/>
                      <a:headEnd/>
                      <a:tailEnd/>
                    </a:ln>
                  </pic:spPr>
                </pic:pic>
              </a:graphicData>
            </a:graphic>
          </wp:inline>
        </w:drawing>
      </w:r>
    </w:p>
    <w:p w:rsidR="001066A0" w:rsidRDefault="001066A0" w:rsidP="00D355E1">
      <w:pPr>
        <w:rPr>
          <w:noProof/>
        </w:rPr>
      </w:pPr>
    </w:p>
    <w:p w:rsidR="001066A0" w:rsidRDefault="001066A0" w:rsidP="001066A0">
      <w:r>
        <w:rPr>
          <w:noProof/>
        </w:rPr>
        <w:drawing>
          <wp:inline distT="0" distB="0" distL="0" distR="0">
            <wp:extent cx="5720443" cy="7622542"/>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cstate="print"/>
                    <a:srcRect l="19895" t="9231" r="39441" b="3956"/>
                    <a:stretch>
                      <a:fillRect/>
                    </a:stretch>
                  </pic:blipFill>
                  <pic:spPr bwMode="auto">
                    <a:xfrm>
                      <a:off x="0" y="0"/>
                      <a:ext cx="5720443" cy="7622542"/>
                    </a:xfrm>
                    <a:prstGeom prst="rect">
                      <a:avLst/>
                    </a:prstGeom>
                    <a:noFill/>
                    <a:ln w="9525">
                      <a:noFill/>
                      <a:miter lim="800000"/>
                      <a:headEnd/>
                      <a:tailEnd/>
                    </a:ln>
                  </pic:spPr>
                </pic:pic>
              </a:graphicData>
            </a:graphic>
          </wp:inline>
        </w:drawing>
      </w:r>
    </w:p>
    <w:p w:rsidR="001066A0" w:rsidRDefault="001066A0" w:rsidP="001066A0">
      <w:r>
        <w:rPr>
          <w:noProof/>
        </w:rPr>
        <w:lastRenderedPageBreak/>
        <w:drawing>
          <wp:inline distT="0" distB="0" distL="0" distR="0">
            <wp:extent cx="5747657" cy="8098971"/>
            <wp:effectExtent l="19050" t="0" r="5443"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cstate="print"/>
                    <a:srcRect l="20838" t="7033" r="39989" b="4814"/>
                    <a:stretch>
                      <a:fillRect/>
                    </a:stretch>
                  </pic:blipFill>
                  <pic:spPr bwMode="auto">
                    <a:xfrm>
                      <a:off x="0" y="0"/>
                      <a:ext cx="5747657" cy="8098971"/>
                    </a:xfrm>
                    <a:prstGeom prst="rect">
                      <a:avLst/>
                    </a:prstGeom>
                    <a:noFill/>
                    <a:ln w="9525">
                      <a:noFill/>
                      <a:miter lim="800000"/>
                      <a:headEnd/>
                      <a:tailEnd/>
                    </a:ln>
                  </pic:spPr>
                </pic:pic>
              </a:graphicData>
            </a:graphic>
          </wp:inline>
        </w:drawing>
      </w:r>
    </w:p>
    <w:sectPr w:rsidR="001066A0" w:rsidSect="00CE5CAD">
      <w:footerReference w:type="default" r:id="rId30"/>
      <w:pgSz w:w="12240" w:h="15840"/>
      <w:pgMar w:top="1440" w:right="1440" w:bottom="1440" w:left="1440" w:header="720" w:footer="720" w:gutter="0"/>
      <w:pgNumType w:start="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 " w:date="2011-03-29T12:45:00Z" w:initials="MSOffice">
    <w:p w:rsidR="00824DD9" w:rsidRDefault="00824DD9">
      <w:pPr>
        <w:pStyle w:val="CommentText"/>
      </w:pPr>
      <w:r>
        <w:rPr>
          <w:rStyle w:val="CommentReference"/>
        </w:rPr>
        <w:annotationRef/>
      </w:r>
      <w:r>
        <w:t>Since CARIS is not handling SV Corrections, I believe we don’t need to publish this. You will not be prompted to enter it when the option for Defining Parameters for SV Correction is not selected during step 5. - Adam</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DD9" w:rsidRDefault="00824DD9" w:rsidP="00CE5CAD">
      <w:pPr>
        <w:spacing w:after="0" w:line="240" w:lineRule="auto"/>
      </w:pPr>
      <w:r>
        <w:separator/>
      </w:r>
    </w:p>
  </w:endnote>
  <w:endnote w:type="continuationSeparator" w:id="0">
    <w:p w:rsidR="00824DD9" w:rsidRDefault="00824DD9" w:rsidP="00CE5C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eraSans-Roman">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543493"/>
      <w:docPartObj>
        <w:docPartGallery w:val="Page Numbers (Bottom of Page)"/>
        <w:docPartUnique/>
      </w:docPartObj>
    </w:sdtPr>
    <w:sdtContent>
      <w:p w:rsidR="00824DD9" w:rsidRDefault="00824DD9">
        <w:pPr>
          <w:pStyle w:val="Footer"/>
          <w:jc w:val="right"/>
        </w:pPr>
        <w:fldSimple w:instr=" PAGE   \* MERGEFORMAT ">
          <w:r w:rsidR="00F51424">
            <w:rPr>
              <w:noProof/>
            </w:rPr>
            <w:t>2</w:t>
          </w:r>
        </w:fldSimple>
      </w:p>
    </w:sdtContent>
  </w:sdt>
  <w:p w:rsidR="00824DD9" w:rsidRDefault="00824D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DD9" w:rsidRDefault="00824DD9" w:rsidP="00CE5CAD">
      <w:pPr>
        <w:spacing w:after="0" w:line="240" w:lineRule="auto"/>
      </w:pPr>
      <w:r>
        <w:separator/>
      </w:r>
    </w:p>
  </w:footnote>
  <w:footnote w:type="continuationSeparator" w:id="0">
    <w:p w:rsidR="00824DD9" w:rsidRDefault="00824DD9" w:rsidP="00CE5C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63B"/>
    <w:multiLevelType w:val="hybridMultilevel"/>
    <w:tmpl w:val="3C8E89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6D393C"/>
    <w:multiLevelType w:val="hybridMultilevel"/>
    <w:tmpl w:val="4E268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F8A4771C">
      <w:numFmt w:val="bullet"/>
      <w:lvlText w:val=""/>
      <w:lvlJc w:val="left"/>
      <w:pPr>
        <w:ind w:left="4500" w:hanging="360"/>
      </w:pPr>
      <w:rPr>
        <w:rFonts w:ascii="Wingdings" w:eastAsiaTheme="minorHAnsi" w:hAnsi="Wingdings" w:cstheme="minorBidi"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CB451F"/>
    <w:multiLevelType w:val="hybridMultilevel"/>
    <w:tmpl w:val="F04C2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
    <w:nsid w:val="6B5D2F5B"/>
    <w:multiLevelType w:val="hybridMultilevel"/>
    <w:tmpl w:val="928228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proofState w:spelling="clean" w:grammar="clean"/>
  <w:revisionView w:markup="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3406E"/>
    <w:rsid w:val="001066A0"/>
    <w:rsid w:val="0012476D"/>
    <w:rsid w:val="001A5939"/>
    <w:rsid w:val="0029211B"/>
    <w:rsid w:val="003426B7"/>
    <w:rsid w:val="00376E78"/>
    <w:rsid w:val="004F0876"/>
    <w:rsid w:val="00594FF9"/>
    <w:rsid w:val="005E73E7"/>
    <w:rsid w:val="0065310D"/>
    <w:rsid w:val="007061AA"/>
    <w:rsid w:val="007312F0"/>
    <w:rsid w:val="0074733C"/>
    <w:rsid w:val="00787961"/>
    <w:rsid w:val="00824DD9"/>
    <w:rsid w:val="0083406E"/>
    <w:rsid w:val="00834E2A"/>
    <w:rsid w:val="00867755"/>
    <w:rsid w:val="008A7B09"/>
    <w:rsid w:val="008B2B9B"/>
    <w:rsid w:val="008D5184"/>
    <w:rsid w:val="008E17EF"/>
    <w:rsid w:val="00936F6D"/>
    <w:rsid w:val="0095745F"/>
    <w:rsid w:val="00A42523"/>
    <w:rsid w:val="00A64E11"/>
    <w:rsid w:val="00A86896"/>
    <w:rsid w:val="00AE4129"/>
    <w:rsid w:val="00B13E1A"/>
    <w:rsid w:val="00B37512"/>
    <w:rsid w:val="00C47B91"/>
    <w:rsid w:val="00C522D2"/>
    <w:rsid w:val="00C66BCE"/>
    <w:rsid w:val="00CE5CAD"/>
    <w:rsid w:val="00D329DD"/>
    <w:rsid w:val="00D355E1"/>
    <w:rsid w:val="00D70540"/>
    <w:rsid w:val="00DB28C3"/>
    <w:rsid w:val="00EE7614"/>
    <w:rsid w:val="00F51424"/>
    <w:rsid w:val="00F76A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colormenu v:ext="edit" fillcolor="none" strokecolor="none [2409]"/>
    </o:shapedefaults>
    <o:shapelayout v:ext="edit">
      <o:idmap v:ext="edit" data="1"/>
      <o:rules v:ext="edit">
        <o:r id="V:Rule2" type="connector" idref="#_x0000_s1026"/>
        <o:r id="V:Rule4" type="connector" idref="#_x0000_s1027"/>
        <o:r id="V:Rule5"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876"/>
  </w:style>
  <w:style w:type="paragraph" w:styleId="Heading1">
    <w:name w:val="heading 1"/>
    <w:basedOn w:val="Normal"/>
    <w:next w:val="Normal"/>
    <w:link w:val="Heading1Char"/>
    <w:uiPriority w:val="9"/>
    <w:qFormat/>
    <w:rsid w:val="00CE5C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28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B28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406E"/>
    <w:pPr>
      <w:ind w:left="720"/>
      <w:contextualSpacing/>
    </w:pPr>
  </w:style>
  <w:style w:type="paragraph" w:styleId="BalloonText">
    <w:name w:val="Balloon Text"/>
    <w:basedOn w:val="Normal"/>
    <w:link w:val="BalloonTextChar"/>
    <w:uiPriority w:val="99"/>
    <w:semiHidden/>
    <w:unhideWhenUsed/>
    <w:rsid w:val="00A64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E11"/>
    <w:rPr>
      <w:rFonts w:ascii="Tahoma" w:hAnsi="Tahoma" w:cs="Tahoma"/>
      <w:sz w:val="16"/>
      <w:szCs w:val="16"/>
    </w:rPr>
  </w:style>
  <w:style w:type="character" w:styleId="CommentReference">
    <w:name w:val="annotation reference"/>
    <w:basedOn w:val="DefaultParagraphFont"/>
    <w:uiPriority w:val="99"/>
    <w:semiHidden/>
    <w:unhideWhenUsed/>
    <w:rsid w:val="007061AA"/>
    <w:rPr>
      <w:sz w:val="16"/>
      <w:szCs w:val="16"/>
    </w:rPr>
  </w:style>
  <w:style w:type="paragraph" w:styleId="CommentText">
    <w:name w:val="annotation text"/>
    <w:basedOn w:val="Normal"/>
    <w:link w:val="CommentTextChar"/>
    <w:uiPriority w:val="99"/>
    <w:semiHidden/>
    <w:unhideWhenUsed/>
    <w:rsid w:val="007061AA"/>
    <w:pPr>
      <w:spacing w:line="240" w:lineRule="auto"/>
    </w:pPr>
    <w:rPr>
      <w:sz w:val="20"/>
      <w:szCs w:val="20"/>
    </w:rPr>
  </w:style>
  <w:style w:type="character" w:customStyle="1" w:styleId="CommentTextChar">
    <w:name w:val="Comment Text Char"/>
    <w:basedOn w:val="DefaultParagraphFont"/>
    <w:link w:val="CommentText"/>
    <w:uiPriority w:val="99"/>
    <w:semiHidden/>
    <w:rsid w:val="007061AA"/>
    <w:rPr>
      <w:sz w:val="20"/>
      <w:szCs w:val="20"/>
    </w:rPr>
  </w:style>
  <w:style w:type="paragraph" w:styleId="CommentSubject">
    <w:name w:val="annotation subject"/>
    <w:basedOn w:val="CommentText"/>
    <w:next w:val="CommentText"/>
    <w:link w:val="CommentSubjectChar"/>
    <w:uiPriority w:val="99"/>
    <w:semiHidden/>
    <w:unhideWhenUsed/>
    <w:rsid w:val="007061AA"/>
    <w:rPr>
      <w:b/>
      <w:bCs/>
    </w:rPr>
  </w:style>
  <w:style w:type="character" w:customStyle="1" w:styleId="CommentSubjectChar">
    <w:name w:val="Comment Subject Char"/>
    <w:basedOn w:val="CommentTextChar"/>
    <w:link w:val="CommentSubject"/>
    <w:uiPriority w:val="99"/>
    <w:semiHidden/>
    <w:rsid w:val="007061AA"/>
    <w:rPr>
      <w:b/>
      <w:bCs/>
    </w:rPr>
  </w:style>
  <w:style w:type="paragraph" w:styleId="Header">
    <w:name w:val="header"/>
    <w:basedOn w:val="Normal"/>
    <w:link w:val="HeaderChar"/>
    <w:uiPriority w:val="99"/>
    <w:semiHidden/>
    <w:unhideWhenUsed/>
    <w:rsid w:val="00CE5CA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5CAD"/>
  </w:style>
  <w:style w:type="paragraph" w:styleId="Footer">
    <w:name w:val="footer"/>
    <w:basedOn w:val="Normal"/>
    <w:link w:val="FooterChar"/>
    <w:uiPriority w:val="99"/>
    <w:unhideWhenUsed/>
    <w:rsid w:val="00CE5C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CAD"/>
  </w:style>
  <w:style w:type="character" w:customStyle="1" w:styleId="Heading1Char">
    <w:name w:val="Heading 1 Char"/>
    <w:basedOn w:val="DefaultParagraphFont"/>
    <w:link w:val="Heading1"/>
    <w:uiPriority w:val="9"/>
    <w:rsid w:val="00CE5CA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E5CAD"/>
    <w:pPr>
      <w:outlineLvl w:val="9"/>
    </w:pPr>
  </w:style>
  <w:style w:type="paragraph" w:styleId="TOC1">
    <w:name w:val="toc 1"/>
    <w:basedOn w:val="Normal"/>
    <w:next w:val="Normal"/>
    <w:autoRedefine/>
    <w:uiPriority w:val="39"/>
    <w:unhideWhenUsed/>
    <w:qFormat/>
    <w:rsid w:val="00CE5CAD"/>
    <w:pPr>
      <w:spacing w:after="100"/>
    </w:pPr>
  </w:style>
  <w:style w:type="character" w:styleId="Hyperlink">
    <w:name w:val="Hyperlink"/>
    <w:basedOn w:val="DefaultParagraphFont"/>
    <w:uiPriority w:val="99"/>
    <w:unhideWhenUsed/>
    <w:rsid w:val="00CE5CAD"/>
    <w:rPr>
      <w:color w:val="0000FF" w:themeColor="hyperlink"/>
      <w:u w:val="single"/>
    </w:rPr>
  </w:style>
  <w:style w:type="paragraph" w:styleId="Revision">
    <w:name w:val="Revision"/>
    <w:hidden/>
    <w:uiPriority w:val="99"/>
    <w:semiHidden/>
    <w:rsid w:val="00CE5CAD"/>
    <w:pPr>
      <w:spacing w:after="0" w:line="240" w:lineRule="auto"/>
    </w:pPr>
  </w:style>
  <w:style w:type="paragraph" w:styleId="Title">
    <w:name w:val="Title"/>
    <w:basedOn w:val="Normal"/>
    <w:next w:val="Normal"/>
    <w:link w:val="TitleChar"/>
    <w:uiPriority w:val="10"/>
    <w:qFormat/>
    <w:rsid w:val="001247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476D"/>
    <w:rPr>
      <w:rFonts w:asciiTheme="majorHAnsi" w:eastAsiaTheme="majorEastAsia" w:hAnsiTheme="majorHAnsi" w:cstheme="majorBidi"/>
      <w:color w:val="17365D" w:themeColor="text2" w:themeShade="BF"/>
      <w:spacing w:val="5"/>
      <w:kern w:val="28"/>
      <w:sz w:val="52"/>
      <w:szCs w:val="52"/>
    </w:rPr>
  </w:style>
  <w:style w:type="paragraph" w:styleId="Subtitle">
    <w:name w:val="Subtitle"/>
    <w:next w:val="Normal"/>
    <w:link w:val="SubtitleChar"/>
    <w:uiPriority w:val="11"/>
    <w:qFormat/>
    <w:rsid w:val="00DB28C3"/>
    <w:pPr>
      <w:spacing w:after="600" w:line="240" w:lineRule="auto"/>
    </w:pPr>
    <w:rPr>
      <w:rFonts w:eastAsiaTheme="minorEastAsia"/>
      <w:smallCaps/>
      <w:color w:val="938953" w:themeColor="background2" w:themeShade="7F"/>
      <w:spacing w:val="5"/>
      <w:sz w:val="28"/>
      <w:szCs w:val="28"/>
      <w:lang w:bidi="en-US"/>
    </w:rPr>
  </w:style>
  <w:style w:type="character" w:customStyle="1" w:styleId="SubtitleChar">
    <w:name w:val="Subtitle Char"/>
    <w:basedOn w:val="DefaultParagraphFont"/>
    <w:link w:val="Subtitle"/>
    <w:uiPriority w:val="11"/>
    <w:rsid w:val="00DB28C3"/>
    <w:rPr>
      <w:rFonts w:eastAsiaTheme="minorEastAsia"/>
      <w:smallCaps/>
      <w:color w:val="938953" w:themeColor="background2" w:themeShade="7F"/>
      <w:spacing w:val="5"/>
      <w:sz w:val="28"/>
      <w:szCs w:val="28"/>
      <w:lang w:bidi="en-US"/>
    </w:rPr>
  </w:style>
  <w:style w:type="character" w:customStyle="1" w:styleId="Heading2Char">
    <w:name w:val="Heading 2 Char"/>
    <w:basedOn w:val="DefaultParagraphFont"/>
    <w:link w:val="Heading2"/>
    <w:uiPriority w:val="9"/>
    <w:rsid w:val="00DB28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B28C3"/>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qFormat/>
    <w:rsid w:val="001A5939"/>
    <w:pPr>
      <w:spacing w:after="100"/>
      <w:ind w:left="220"/>
    </w:pPr>
  </w:style>
  <w:style w:type="paragraph" w:styleId="TOC3">
    <w:name w:val="toc 3"/>
    <w:basedOn w:val="Normal"/>
    <w:next w:val="Normal"/>
    <w:autoRedefine/>
    <w:uiPriority w:val="39"/>
    <w:unhideWhenUsed/>
    <w:qFormat/>
    <w:rsid w:val="00834E2A"/>
    <w:pPr>
      <w:spacing w:after="100"/>
      <w:ind w:left="440"/>
    </w:pPr>
    <w:rPr>
      <w:rFonts w:eastAsiaTheme="minorEastAsia"/>
    </w:rPr>
  </w:style>
  <w:style w:type="paragraph" w:styleId="NoSpacing">
    <w:name w:val="No Spacing"/>
    <w:uiPriority w:val="1"/>
    <w:qFormat/>
    <w:rsid w:val="00834E2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eraSans-Roman">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83C1A"/>
    <w:rsid w:val="00583C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654A1C0E8B452AA9EABA32084AE6E2">
    <w:name w:val="39654A1C0E8B452AA9EABA32084AE6E2"/>
    <w:rsid w:val="00583C1A"/>
  </w:style>
  <w:style w:type="paragraph" w:customStyle="1" w:styleId="18C8555FFD33454BB0EEA1F5413E88CA">
    <w:name w:val="18C8555FFD33454BB0EEA1F5413E88CA"/>
    <w:rsid w:val="00583C1A"/>
  </w:style>
  <w:style w:type="paragraph" w:customStyle="1" w:styleId="03D443409D534829B0728E01420E3C83">
    <w:name w:val="03D443409D534829B0728E01420E3C83"/>
    <w:rsid w:val="00583C1A"/>
  </w:style>
  <w:style w:type="paragraph" w:customStyle="1" w:styleId="7DBCFFF70AC54B90A1450D96F0514E68">
    <w:name w:val="7DBCFFF70AC54B90A1450D96F0514E68"/>
    <w:rsid w:val="00583C1A"/>
  </w:style>
  <w:style w:type="paragraph" w:customStyle="1" w:styleId="9D4F36F25F6642B0944CAFAABEBFC224">
    <w:name w:val="9D4F36F25F6642B0944CAFAABEBFC224"/>
    <w:rsid w:val="00583C1A"/>
  </w:style>
  <w:style w:type="paragraph" w:customStyle="1" w:styleId="5E319405CD4F4259AAA01AFDD26B14B3">
    <w:name w:val="5E319405CD4F4259AAA01AFDD26B14B3"/>
    <w:rsid w:val="00583C1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0C0A2-1DD7-49B4-B723-F4FE319A9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2279</TotalTime>
  <Pages>19</Pages>
  <Words>1953</Words>
  <Characters>11134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26</cp:revision>
  <dcterms:created xsi:type="dcterms:W3CDTF">2011-03-27T18:12:00Z</dcterms:created>
  <dcterms:modified xsi:type="dcterms:W3CDTF">2011-03-29T15:04:00Z</dcterms:modified>
</cp:coreProperties>
</file>